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70D1D" w14:textId="0B719983" w:rsidR="003344B8" w:rsidRPr="004B3A6E" w:rsidRDefault="003344B8" w:rsidP="00332DD3">
      <w:pPr>
        <w:tabs>
          <w:tab w:val="left" w:pos="2268"/>
        </w:tabs>
        <w:spacing w:after="240" w:line="276" w:lineRule="auto"/>
        <w:rPr>
          <w:sz w:val="16"/>
        </w:rPr>
      </w:pPr>
      <w:bookmarkStart w:id="0" w:name="_Hlk84400294"/>
      <w:r w:rsidRPr="004B3A6E">
        <w:rPr>
          <w:sz w:val="16"/>
        </w:rPr>
        <w:t>Munich, April 2025</w:t>
      </w:r>
    </w:p>
    <w:p w14:paraId="4F6161F4" w14:textId="09A3AA10" w:rsidR="00785336" w:rsidRPr="004B3A6E" w:rsidRDefault="00432D7E" w:rsidP="00785336">
      <w:pPr>
        <w:spacing w:after="240" w:line="276" w:lineRule="auto"/>
        <w:rPr>
          <w:rFonts w:cs="Arial"/>
          <w:b/>
          <w:bCs/>
          <w:sz w:val="24"/>
          <w:szCs w:val="24"/>
        </w:rPr>
      </w:pPr>
      <w:bookmarkStart w:id="1" w:name="_Hlk193628932"/>
      <w:r w:rsidRPr="004B3A6E">
        <w:rPr>
          <w:b/>
          <w:sz w:val="24"/>
        </w:rPr>
        <w:t>Wacker</w:t>
      </w:r>
      <w:r w:rsidR="003A05B3" w:rsidRPr="004B3A6E">
        <w:rPr>
          <w:b/>
          <w:sz w:val="24"/>
        </w:rPr>
        <w:t> </w:t>
      </w:r>
      <w:r w:rsidRPr="004B3A6E">
        <w:rPr>
          <w:b/>
          <w:sz w:val="24"/>
        </w:rPr>
        <w:t>Neuson at Bauma 2025: Solutions built for you</w:t>
      </w:r>
    </w:p>
    <w:p w14:paraId="65F7AB60" w14:textId="0C181213" w:rsidR="00785336" w:rsidRPr="004B3A6E" w:rsidRDefault="00563FB8" w:rsidP="00785336">
      <w:pPr>
        <w:pStyle w:val="Listenabsatz"/>
        <w:numPr>
          <w:ilvl w:val="0"/>
          <w:numId w:val="2"/>
        </w:numPr>
        <w:rPr>
          <w:rFonts w:ascii="Arial" w:hAnsi="Arial" w:cs="Arial"/>
          <w:b/>
        </w:rPr>
      </w:pPr>
      <w:r w:rsidRPr="004B3A6E">
        <w:rPr>
          <w:rFonts w:ascii="Arial" w:hAnsi="Arial"/>
          <w:b/>
        </w:rPr>
        <w:t>Expansion of the zero emission portfolio for the electrified construction site</w:t>
      </w:r>
    </w:p>
    <w:p w14:paraId="697664A1" w14:textId="78A941EA" w:rsidR="00785336" w:rsidRPr="004B3A6E" w:rsidRDefault="00563FB8" w:rsidP="00785336">
      <w:pPr>
        <w:pStyle w:val="Listenabsatz"/>
        <w:numPr>
          <w:ilvl w:val="0"/>
          <w:numId w:val="2"/>
        </w:numPr>
        <w:rPr>
          <w:rFonts w:ascii="Arial" w:hAnsi="Arial" w:cs="Arial"/>
          <w:b/>
        </w:rPr>
      </w:pPr>
      <w:r w:rsidRPr="004B3A6E">
        <w:rPr>
          <w:rFonts w:ascii="Arial" w:hAnsi="Arial"/>
          <w:b/>
        </w:rPr>
        <w:t>Innovations in the field of dumpers and loader for more efficiency and safety</w:t>
      </w:r>
    </w:p>
    <w:p w14:paraId="72B9EA11" w14:textId="7871CDAE" w:rsidR="002F65F4" w:rsidRPr="004B3A6E" w:rsidRDefault="009F4938" w:rsidP="00785336">
      <w:pPr>
        <w:pStyle w:val="Listenabsatz"/>
        <w:numPr>
          <w:ilvl w:val="0"/>
          <w:numId w:val="2"/>
        </w:numPr>
        <w:rPr>
          <w:rFonts w:ascii="Arial" w:hAnsi="Arial" w:cs="Arial"/>
          <w:b/>
        </w:rPr>
      </w:pPr>
      <w:r w:rsidRPr="004B3A6E">
        <w:rPr>
          <w:rFonts w:ascii="Arial" w:hAnsi="Arial"/>
          <w:b/>
        </w:rPr>
        <w:t>New generation of medium-weight reversible vibratory plates</w:t>
      </w:r>
    </w:p>
    <w:p w14:paraId="40EC7795" w14:textId="499F0FDB" w:rsidR="00A143AE" w:rsidRPr="004B3A6E" w:rsidRDefault="00A143AE" w:rsidP="00785336">
      <w:pPr>
        <w:pStyle w:val="Listenabsatz"/>
        <w:numPr>
          <w:ilvl w:val="0"/>
          <w:numId w:val="2"/>
        </w:numPr>
        <w:rPr>
          <w:rFonts w:ascii="Arial" w:hAnsi="Arial" w:cs="Arial"/>
          <w:b/>
        </w:rPr>
      </w:pPr>
      <w:r w:rsidRPr="004B3A6E">
        <w:rPr>
          <w:rFonts w:ascii="Arial" w:hAnsi="Arial"/>
          <w:b/>
        </w:rPr>
        <w:t>New App for faster access to machine information</w:t>
      </w:r>
    </w:p>
    <w:p w14:paraId="48BCE38C" w14:textId="121FCF5C" w:rsidR="00785336" w:rsidRPr="004B3A6E" w:rsidRDefault="00785336" w:rsidP="004A497A">
      <w:pPr>
        <w:pStyle w:val="Listenabsatz"/>
        <w:jc w:val="both"/>
        <w:rPr>
          <w:rFonts w:cs="Arial"/>
          <w:bCs/>
          <w:szCs w:val="24"/>
        </w:rPr>
      </w:pPr>
    </w:p>
    <w:p w14:paraId="35FEEED4" w14:textId="5D42C638" w:rsidR="004A497A" w:rsidRPr="004B3A6E" w:rsidRDefault="00167C99" w:rsidP="004A497A">
      <w:pPr>
        <w:jc w:val="both"/>
        <w:rPr>
          <w:i/>
        </w:rPr>
      </w:pPr>
      <w:r w:rsidRPr="004B3A6E">
        <w:t>Under the motto “Solutions built for you”, Wacker</w:t>
      </w:r>
      <w:r w:rsidR="003A05B3" w:rsidRPr="004B3A6E">
        <w:t> </w:t>
      </w:r>
      <w:r w:rsidRPr="004B3A6E">
        <w:t xml:space="preserve">Neuson together with its sister brand Kramer will be welcoming visitors to this year's Bauma – once again at booth FN.916 in the Northern outdoor area. </w:t>
      </w:r>
      <w:bookmarkEnd w:id="1"/>
      <w:r w:rsidRPr="004B3A6E">
        <w:t>“</w:t>
      </w:r>
      <w:bookmarkStart w:id="2" w:name="_Hlk193802351"/>
      <w:r w:rsidRPr="004B3A6E">
        <w:t>Bauma 2025 is a valuable opportunity for us to meet our customers and partners in person, to discuss their current challenges and to talk about our solutions in the form of innovative products and new technologies,” explains Alexander Greschner, Head of Sales at the Wacker</w:t>
      </w:r>
      <w:r w:rsidR="003A05B3" w:rsidRPr="004B3A6E">
        <w:t> </w:t>
      </w:r>
      <w:r w:rsidRPr="004B3A6E">
        <w:t xml:space="preserve">Neuson Group. “Discussions at our booth show time and again how important a trusting partnership is for future-ready and efficient construction sites.” </w:t>
      </w:r>
      <w:bookmarkEnd w:id="2"/>
    </w:p>
    <w:p w14:paraId="6C5259E7" w14:textId="5BD3D3A1" w:rsidR="004A497A" w:rsidRPr="004B3A6E" w:rsidRDefault="00B162C8" w:rsidP="004A497A">
      <w:pPr>
        <w:jc w:val="both"/>
      </w:pPr>
      <w:r w:rsidRPr="004B3A6E">
        <w:t>The exhibition area and the demo show at the Wacker</w:t>
      </w:r>
      <w:r w:rsidR="003A05B3" w:rsidRPr="004B3A6E">
        <w:t> </w:t>
      </w:r>
      <w:r w:rsidRPr="004B3A6E">
        <w:t>Neuson trade fair booth are consistently application-orientated. A so-called “Solutions Ring” takes visitors on a 360° tour around the demo arena, where the innovative products are presented at regular intervals as part of an entertaining show. They are united by the trade fair motto 2025 “Solutions built for you” – in other words, sophisticated solutions for the daily challenges faced by customers.</w:t>
      </w:r>
    </w:p>
    <w:p w14:paraId="112177B2" w14:textId="77777777" w:rsidR="00607C74" w:rsidRPr="004B3A6E" w:rsidRDefault="00607C74" w:rsidP="00785336">
      <w:pPr>
        <w:jc w:val="both"/>
        <w:rPr>
          <w:rFonts w:cs="Arial"/>
          <w:bCs/>
          <w:szCs w:val="22"/>
        </w:rPr>
      </w:pPr>
    </w:p>
    <w:p w14:paraId="4DEC5B65" w14:textId="3E42DC5C" w:rsidR="0009210F" w:rsidRPr="004B3A6E" w:rsidRDefault="00C97961" w:rsidP="00785336">
      <w:pPr>
        <w:jc w:val="both"/>
        <w:rPr>
          <w:rFonts w:cs="Arial"/>
          <w:b/>
          <w:bCs/>
          <w:szCs w:val="22"/>
        </w:rPr>
      </w:pPr>
      <w:r w:rsidRPr="004B3A6E">
        <w:rPr>
          <w:b/>
        </w:rPr>
        <w:t>Solutions for the emission-free construction site</w:t>
      </w:r>
    </w:p>
    <w:p w14:paraId="0D5FFD76" w14:textId="1118C5E7" w:rsidR="001F2EC4" w:rsidRPr="004B3A6E" w:rsidRDefault="00F80328" w:rsidP="005543C4">
      <w:pPr>
        <w:jc w:val="both"/>
        <w:rPr>
          <w:rFonts w:cs="Arial"/>
          <w:bCs/>
          <w:szCs w:val="22"/>
        </w:rPr>
      </w:pPr>
      <w:r w:rsidRPr="004B3A6E">
        <w:t>From its zero emission product portfolio, Wacker</w:t>
      </w:r>
      <w:r w:rsidR="003A05B3" w:rsidRPr="004B3A6E">
        <w:t> </w:t>
      </w:r>
      <w:r w:rsidRPr="004B3A6E">
        <w:t xml:space="preserve">Neuson will be exhibiting the two new EZ26e E-excavators with a payload of 2.6 tons and the EZ10e with a payload of one ton at Bauma. In addition, an independent and TÜV-certified battery analysis, the “Certified Battery Check”, will also be presented for the first time: </w:t>
      </w:r>
      <w:r w:rsidR="00B66891">
        <w:t>t</w:t>
      </w:r>
      <w:r w:rsidRPr="004B3A6E">
        <w:t xml:space="preserve">his analysis of the battery status enables customers to increase the resale value of used machines and to have the battery status of their own machine ascertained by an independent “State of Health” certificate. </w:t>
      </w:r>
    </w:p>
    <w:p w14:paraId="2E86F027" w14:textId="45C8E346" w:rsidR="0009210F" w:rsidRPr="004B3A6E" w:rsidRDefault="0009210F" w:rsidP="00785336">
      <w:pPr>
        <w:jc w:val="both"/>
        <w:rPr>
          <w:rFonts w:cs="Arial"/>
          <w:bCs/>
          <w:szCs w:val="22"/>
        </w:rPr>
      </w:pPr>
    </w:p>
    <w:p w14:paraId="46C3C281" w14:textId="11035D4F" w:rsidR="0009210F" w:rsidRPr="004B3A6E" w:rsidRDefault="00DF1563" w:rsidP="00785336">
      <w:pPr>
        <w:jc w:val="both"/>
        <w:rPr>
          <w:rFonts w:cs="Arial"/>
          <w:b/>
          <w:bCs/>
          <w:szCs w:val="22"/>
        </w:rPr>
      </w:pPr>
      <w:r w:rsidRPr="004B3A6E">
        <w:rPr>
          <w:b/>
        </w:rPr>
        <w:t>Solutions for efficient material transport</w:t>
      </w:r>
    </w:p>
    <w:p w14:paraId="56A90168" w14:textId="333BA299" w:rsidR="00DF1563" w:rsidRPr="004B3A6E" w:rsidRDefault="00A143AE" w:rsidP="00DF1563">
      <w:pPr>
        <w:jc w:val="both"/>
        <w:rPr>
          <w:rFonts w:cs="Arial"/>
          <w:bCs/>
          <w:szCs w:val="22"/>
        </w:rPr>
      </w:pPr>
      <w:r w:rsidRPr="004B3A6E">
        <w:t xml:space="preserve">A new E-wheel loader is premièring at Bauma: </w:t>
      </w:r>
      <w:r w:rsidR="00B66891">
        <w:t>t</w:t>
      </w:r>
      <w:r w:rsidRPr="004B3A6E">
        <w:t xml:space="preserve">he WL300e with an operating weight of around 2.5 tons scores particularly well in terms of comfort (cushioned cab!) and safety. The new, optionally available loading system with a lift height of approx. 2.3 metres significantly increases the tipping load of the machine and ensures optimum view of the work environment and the attachment. </w:t>
      </w:r>
    </w:p>
    <w:p w14:paraId="0BA80F83" w14:textId="608EF1E5" w:rsidR="004C359C" w:rsidRPr="004B3A6E" w:rsidRDefault="00CF2D39" w:rsidP="00305690">
      <w:pPr>
        <w:jc w:val="both"/>
        <w:rPr>
          <w:rFonts w:cs="Arial"/>
          <w:bCs/>
          <w:szCs w:val="22"/>
        </w:rPr>
      </w:pPr>
      <w:r w:rsidRPr="004B3A6E">
        <w:lastRenderedPageBreak/>
        <w:t>With an entire series of new wheel loaders, Wacker</w:t>
      </w:r>
      <w:r w:rsidR="003A05B3" w:rsidRPr="004B3A6E">
        <w:t> </w:t>
      </w:r>
      <w:r w:rsidRPr="004B3A6E">
        <w:t xml:space="preserve">Neuson is ensuring even greater efficiency and comfort on the construction site. The cabs of the new models WL750, WL950 and WL1150 have been optimised: </w:t>
      </w:r>
      <w:r w:rsidR="00B66891">
        <w:t>t</w:t>
      </w:r>
      <w:r w:rsidRPr="004B3A6E">
        <w:t>he widened access makes frequent entry and exit easier, panoramic front- and rear windows provide optimum 360° visibility of the work environment and ergonomically arranged operating elements facilitate focussed work. The easy service access of all three models enables efficient maintenance and thus maximises the running times of the machines.</w:t>
      </w:r>
      <w:r w:rsidRPr="004B3A6E">
        <w:rPr>
          <w:i/>
        </w:rPr>
        <w:t xml:space="preserve"> </w:t>
      </w:r>
    </w:p>
    <w:p w14:paraId="2EA3C4D9" w14:textId="77777777" w:rsidR="004C4342" w:rsidRPr="004B3A6E" w:rsidRDefault="004C4342" w:rsidP="00757126">
      <w:pPr>
        <w:jc w:val="both"/>
        <w:rPr>
          <w:rFonts w:cs="Arial"/>
          <w:bCs/>
          <w:szCs w:val="22"/>
        </w:rPr>
      </w:pPr>
    </w:p>
    <w:p w14:paraId="2471AF7D" w14:textId="1626C244" w:rsidR="002F65F4" w:rsidRPr="004B3A6E" w:rsidRDefault="00AC1717" w:rsidP="00757126">
      <w:pPr>
        <w:jc w:val="both"/>
        <w:rPr>
          <w:rFonts w:cs="Arial"/>
          <w:b/>
          <w:bCs/>
          <w:szCs w:val="22"/>
        </w:rPr>
      </w:pPr>
      <w:r w:rsidRPr="004B3A6E">
        <w:rPr>
          <w:b/>
        </w:rPr>
        <w:t>Solutions for flexible application</w:t>
      </w:r>
    </w:p>
    <w:p w14:paraId="100CF0A6" w14:textId="4E66C915" w:rsidR="00757126" w:rsidRPr="004B3A6E" w:rsidRDefault="004C359C" w:rsidP="00757126">
      <w:pPr>
        <w:jc w:val="both"/>
        <w:rPr>
          <w:rFonts w:cs="Arial"/>
          <w:bCs/>
          <w:szCs w:val="22"/>
        </w:rPr>
      </w:pPr>
      <w:r w:rsidRPr="004B3A6E">
        <w:t>In the field of dual view dumpers, Wacker</w:t>
      </w:r>
      <w:r w:rsidR="003A05B3" w:rsidRPr="004B3A6E">
        <w:t> </w:t>
      </w:r>
      <w:r w:rsidRPr="004B3A6E">
        <w:t xml:space="preserve">Neuson presents an innovative skip change system on the tried and tested DV60 dumper. It enables quick and easy replacement of the skip, for example switching from a swivel tip skip to a three-sided tipper platform. Various skips can be used to extend the application areas, increase the utilisation of the machine and make the dumpers even more flexible, e.g. for application as a lorry replacement. </w:t>
      </w:r>
    </w:p>
    <w:p w14:paraId="5299BB81" w14:textId="32AB410A" w:rsidR="0009210F" w:rsidRPr="004B3A6E" w:rsidRDefault="0009210F" w:rsidP="00785336">
      <w:pPr>
        <w:jc w:val="both"/>
        <w:rPr>
          <w:rFonts w:cs="Arial"/>
          <w:bCs/>
          <w:szCs w:val="22"/>
        </w:rPr>
      </w:pPr>
    </w:p>
    <w:p w14:paraId="5E637C58" w14:textId="651747B3" w:rsidR="002F65F4" w:rsidRPr="004B3A6E" w:rsidRDefault="00AC1717" w:rsidP="00785336">
      <w:pPr>
        <w:jc w:val="both"/>
        <w:rPr>
          <w:rFonts w:cs="Arial"/>
          <w:b/>
          <w:bCs/>
          <w:szCs w:val="22"/>
        </w:rPr>
      </w:pPr>
      <w:r w:rsidRPr="004B3A6E">
        <w:rPr>
          <w:b/>
        </w:rPr>
        <w:t>Solutions for narrow passages</w:t>
      </w:r>
    </w:p>
    <w:p w14:paraId="11774577" w14:textId="756F4439" w:rsidR="001E0850" w:rsidRDefault="004A3A8C" w:rsidP="00391748">
      <w:pPr>
        <w:jc w:val="both"/>
      </w:pPr>
      <w:r w:rsidRPr="004B3A6E">
        <w:t>After Wacker</w:t>
      </w:r>
      <w:r w:rsidR="003A05B3" w:rsidRPr="004B3A6E">
        <w:t> </w:t>
      </w:r>
      <w:r w:rsidRPr="004B3A6E">
        <w:t>Neuson presented the track-mounted mini loader SM100 for the first time at Bauma 2022, the model series is now being expanded with the SM50, a 1.1 tons machine on wheels. Both mini-loaders are real multi-tools on confined construction sites. So, the compact SM50 is available with a wide range of attachments and, thanks to its high hydraulic power, even allows the application of earth augers or trenchers, for example. Thanks to the simple operation of the joystick, even inexperienced users can work quickly and efficiently. Thanks to their narrow dimensions, Wacker</w:t>
      </w:r>
      <w:r w:rsidR="003A05B3" w:rsidRPr="004B3A6E">
        <w:t> </w:t>
      </w:r>
      <w:r w:rsidRPr="004B3A6E">
        <w:t>Neuson mini-loaders fit through gates or narrow passages and are therefore ideal for application in the urban environment.</w:t>
      </w:r>
    </w:p>
    <w:p w14:paraId="48993E76" w14:textId="77777777" w:rsidR="00391748" w:rsidRPr="004B3A6E" w:rsidRDefault="00391748" w:rsidP="00391748">
      <w:pPr>
        <w:jc w:val="both"/>
        <w:rPr>
          <w:rFonts w:cs="Arial"/>
          <w:bCs/>
        </w:rPr>
      </w:pPr>
    </w:p>
    <w:p w14:paraId="3FEE04EE" w14:textId="60CF8B58" w:rsidR="002F65F4" w:rsidRPr="004B3A6E" w:rsidRDefault="00A50DB5" w:rsidP="00785336">
      <w:pPr>
        <w:jc w:val="both"/>
        <w:rPr>
          <w:rFonts w:cs="Arial"/>
          <w:b/>
          <w:bCs/>
        </w:rPr>
      </w:pPr>
      <w:r w:rsidRPr="004B3A6E">
        <w:rPr>
          <w:b/>
        </w:rPr>
        <w:t>Solutions for efficient compaction</w:t>
      </w:r>
    </w:p>
    <w:p w14:paraId="60CC5B57" w14:textId="77777777" w:rsidR="00391748" w:rsidRDefault="006873A2" w:rsidP="006873A2">
      <w:pPr>
        <w:jc w:val="both"/>
      </w:pPr>
      <w:r w:rsidRPr="004B3A6E">
        <w:t>Wacker</w:t>
      </w:r>
      <w:r w:rsidR="003A05B3" w:rsidRPr="004B3A6E">
        <w:t> </w:t>
      </w:r>
      <w:r w:rsidRPr="004B3A6E">
        <w:t>Neuson is introducing a comprehensive series of new battery-powered plates which – like numerous other construction equipment from Wacker</w:t>
      </w:r>
      <w:r w:rsidR="003A05B3" w:rsidRPr="004B3A6E">
        <w:t> </w:t>
      </w:r>
      <w:r w:rsidRPr="004B3A6E">
        <w:t xml:space="preserve">Neuson or other manufacturers within the scope of this standard – are operated by the Battery One battery. The reversible APU battery-powered plates are available with centrifugal forces of 28 and 33 kilo newtons and operating widths of 40, 50 and 60 centimetres. The battery-powered vibratory plates APU28 and APU33 are very easy to operate and can be started at the press of a button. </w:t>
      </w:r>
    </w:p>
    <w:p w14:paraId="12E7ADEA" w14:textId="77777777" w:rsidR="00391748" w:rsidRDefault="00391748">
      <w:pPr>
        <w:suppressAutoHyphens w:val="0"/>
        <w:spacing w:line="240" w:lineRule="auto"/>
      </w:pPr>
      <w:r>
        <w:br w:type="page"/>
      </w:r>
    </w:p>
    <w:p w14:paraId="3153991C" w14:textId="1AD906D4" w:rsidR="006873A2" w:rsidRPr="004B3A6E" w:rsidRDefault="006873A2" w:rsidP="006873A2">
      <w:pPr>
        <w:jc w:val="both"/>
        <w:rPr>
          <w:rFonts w:cs="Arial"/>
          <w:bCs/>
          <w:i/>
          <w:szCs w:val="22"/>
        </w:rPr>
      </w:pPr>
      <w:r w:rsidRPr="004B3A6E">
        <w:lastRenderedPageBreak/>
        <w:t xml:space="preserve">Their direct drive </w:t>
      </w:r>
      <w:proofErr w:type="spellStart"/>
      <w:r w:rsidRPr="004B3A6E">
        <w:t>DireX</w:t>
      </w:r>
      <w:proofErr w:type="spellEnd"/>
      <w:r w:rsidRPr="004B3A6E">
        <w:t xml:space="preserve"> – an in-house development by Wacker</w:t>
      </w:r>
      <w:r w:rsidR="003A05B3" w:rsidRPr="004B3A6E">
        <w:t> </w:t>
      </w:r>
      <w:r w:rsidRPr="004B3A6E">
        <w:t xml:space="preserve">Neuson – ensures power transmission without transmission and friction losses, and therefore longer running times and lower maintenance costs. </w:t>
      </w:r>
    </w:p>
    <w:p w14:paraId="62BAEF56" w14:textId="76C878BB" w:rsidR="006873A2" w:rsidRPr="004B3A6E" w:rsidRDefault="00EA45CB" w:rsidP="006873A2">
      <w:pPr>
        <w:jc w:val="both"/>
        <w:rPr>
          <w:rFonts w:cs="Arial"/>
        </w:rPr>
      </w:pPr>
      <w:r w:rsidRPr="004B3A6E">
        <w:t>Wacker</w:t>
      </w:r>
      <w:r w:rsidR="003A05B3" w:rsidRPr="004B3A6E">
        <w:t> </w:t>
      </w:r>
      <w:r w:rsidRPr="004B3A6E">
        <w:t xml:space="preserve">Neuson is also expanding the range of reversible centre plates with petrol or diesel engine. They are available with a compaction performance of 52 and 62 kilo newtons and operating widths of 47 cm, 60 cm and 75 cm. The new generation of DPU and BPU models impress with very good manageability and ergonomics, ensuring smooth and efficient work. Extensive additional functions such as the LED control panel and digital machine control with Bluetooth connectivity, compaction control, Telematics and machine diagnostics are optionally available for the diesel variants. </w:t>
      </w:r>
    </w:p>
    <w:p w14:paraId="07BC3329" w14:textId="5A0367D6" w:rsidR="000F0750" w:rsidRPr="004B3A6E" w:rsidRDefault="000F0750" w:rsidP="00785336">
      <w:pPr>
        <w:jc w:val="both"/>
        <w:rPr>
          <w:rFonts w:cs="Arial"/>
          <w:bCs/>
          <w:szCs w:val="22"/>
        </w:rPr>
      </w:pPr>
    </w:p>
    <w:p w14:paraId="4FB36292" w14:textId="6379CD8B" w:rsidR="000F0750" w:rsidRPr="004B3A6E" w:rsidRDefault="00AC1717" w:rsidP="00785336">
      <w:pPr>
        <w:jc w:val="both"/>
        <w:rPr>
          <w:rFonts w:cs="Arial"/>
          <w:b/>
          <w:bCs/>
          <w:szCs w:val="22"/>
        </w:rPr>
      </w:pPr>
      <w:r w:rsidRPr="004B3A6E">
        <w:rPr>
          <w:b/>
        </w:rPr>
        <w:t>Solution for digital transparency</w:t>
      </w:r>
    </w:p>
    <w:p w14:paraId="6DE46968" w14:textId="22840ED6" w:rsidR="006E3602" w:rsidRPr="004B3A6E" w:rsidRDefault="006873A2" w:rsidP="006E3602">
      <w:pPr>
        <w:jc w:val="both"/>
        <w:rPr>
          <w:rFonts w:cs="Arial"/>
          <w:bCs/>
          <w:szCs w:val="22"/>
        </w:rPr>
      </w:pPr>
      <w:r w:rsidRPr="004B3A6E">
        <w:t>In the area of digitalisation, the new Wacker</w:t>
      </w:r>
      <w:r w:rsidR="003A05B3" w:rsidRPr="004B3A6E">
        <w:t> </w:t>
      </w:r>
      <w:r w:rsidRPr="004B3A6E">
        <w:t xml:space="preserve">Neuson App is in focus, which has been especially developed for operators. It provides access to all information about the machine in daily use, such as operator's manuals, </w:t>
      </w:r>
      <w:r w:rsidR="00391748" w:rsidRPr="00391748">
        <w:t>spare parts catalogues</w:t>
      </w:r>
      <w:r w:rsidR="00391748">
        <w:t xml:space="preserve"> </w:t>
      </w:r>
      <w:r w:rsidRPr="004B3A6E">
        <w:t xml:space="preserve">and instruction videos. </w:t>
      </w:r>
    </w:p>
    <w:p w14:paraId="24413DCD" w14:textId="69C39FA6" w:rsidR="000F0750" w:rsidRPr="004B3A6E" w:rsidRDefault="000F0750" w:rsidP="00785336">
      <w:pPr>
        <w:jc w:val="both"/>
        <w:rPr>
          <w:rFonts w:cs="Arial"/>
          <w:bCs/>
          <w:szCs w:val="22"/>
        </w:rPr>
      </w:pPr>
    </w:p>
    <w:p w14:paraId="6C5DABFD" w14:textId="31CADD9F" w:rsidR="005F77D3" w:rsidRPr="004B3A6E" w:rsidRDefault="005F77D3" w:rsidP="00785336">
      <w:pPr>
        <w:jc w:val="both"/>
        <w:rPr>
          <w:rFonts w:cs="Arial"/>
          <w:bCs/>
          <w:szCs w:val="22"/>
        </w:rPr>
      </w:pPr>
      <w:r w:rsidRPr="004B3A6E">
        <w:t xml:space="preserve">More information at booth FN.916 and at: </w:t>
      </w:r>
      <w:hyperlink r:id="rId8" w:history="1">
        <w:r w:rsidRPr="004B3A6E">
          <w:rPr>
            <w:rStyle w:val="Hyperlink"/>
          </w:rPr>
          <w:t>www.wackerneuson.com/bauma</w:t>
        </w:r>
      </w:hyperlink>
    </w:p>
    <w:p w14:paraId="45DA0FE2" w14:textId="7B944787" w:rsidR="00785336" w:rsidRPr="004B3A6E" w:rsidRDefault="00785336" w:rsidP="00785336">
      <w:pPr>
        <w:pBdr>
          <w:bottom w:val="single" w:sz="12" w:space="1" w:color="auto"/>
        </w:pBdr>
        <w:jc w:val="both"/>
        <w:rPr>
          <w:rFonts w:eastAsia="Calibri" w:cs="Arial"/>
          <w:szCs w:val="22"/>
        </w:rPr>
      </w:pPr>
    </w:p>
    <w:p w14:paraId="646E6E8F" w14:textId="06DE3EFC" w:rsidR="001E0850" w:rsidRPr="004B3A6E" w:rsidRDefault="002F65F4" w:rsidP="00391748">
      <w:pPr>
        <w:pBdr>
          <w:bottom w:val="single" w:sz="12" w:space="1" w:color="auto"/>
        </w:pBdr>
        <w:rPr>
          <w:rFonts w:eastAsia="Calibri" w:cs="Arial"/>
          <w:szCs w:val="22"/>
        </w:rPr>
      </w:pPr>
      <w:r w:rsidRPr="004B3A6E">
        <w:t xml:space="preserve">The trade fair innovations in videos: </w:t>
      </w:r>
      <w:hyperlink r:id="rId9" w:tgtFrame="_blank" w:tooltip="https://www.youtube.com/playlist?list=pllda1aynlvmctcsgvrqpwlddjju1wo7wo" w:history="1">
        <w:r w:rsidRPr="004B3A6E">
          <w:rPr>
            <w:rStyle w:val="Hyperlink"/>
          </w:rPr>
          <w:t>https://www.youtube.com/playlist?list=PLlda1AYNlVMctcSGvRQPWlDDjJU1wO7wo</w:t>
        </w:r>
      </w:hyperlink>
    </w:p>
    <w:p w14:paraId="40BC0469" w14:textId="77777777" w:rsidR="002F65F4" w:rsidRPr="004B3A6E" w:rsidRDefault="002F65F4" w:rsidP="00785336">
      <w:pPr>
        <w:pBdr>
          <w:bottom w:val="single" w:sz="12" w:space="1" w:color="auto"/>
        </w:pBdr>
        <w:jc w:val="both"/>
        <w:rPr>
          <w:rFonts w:eastAsia="Calibri" w:cs="Arial"/>
          <w:szCs w:val="22"/>
        </w:rPr>
      </w:pPr>
    </w:p>
    <w:p w14:paraId="59A02C4A" w14:textId="77777777" w:rsidR="00785336" w:rsidRPr="004B3A6E" w:rsidRDefault="00785336" w:rsidP="00785336">
      <w:pPr>
        <w:jc w:val="both"/>
        <w:rPr>
          <w:rFonts w:eastAsia="Calibri" w:cs="Arial"/>
          <w:szCs w:val="22"/>
        </w:rPr>
      </w:pPr>
    </w:p>
    <w:p w14:paraId="3AD85F30" w14:textId="1F1F4A64" w:rsidR="00384955" w:rsidRPr="004B3A6E" w:rsidRDefault="00B1409C" w:rsidP="00A86710">
      <w:pPr>
        <w:spacing w:line="240" w:lineRule="auto"/>
        <w:jc w:val="both"/>
        <w:rPr>
          <w:rFonts w:eastAsia="Calibri" w:cs="Arial"/>
          <w:i/>
          <w:szCs w:val="22"/>
        </w:rPr>
      </w:pPr>
      <w:r w:rsidRPr="004B3A6E">
        <w:rPr>
          <w:i/>
        </w:rPr>
        <w:t xml:space="preserve">You will find current information on our social media channels. We look forward to links, comments and shared posts.  </w:t>
      </w:r>
    </w:p>
    <w:p w14:paraId="30120E3B" w14:textId="084A2EB0" w:rsidR="00353D22" w:rsidRPr="004B3A6E" w:rsidRDefault="00353D22" w:rsidP="00353D22">
      <w:pPr>
        <w:jc w:val="both"/>
      </w:pPr>
    </w:p>
    <w:tbl>
      <w:tblPr>
        <w:tblStyle w:val="Tabellenraster"/>
        <w:tblW w:w="70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1417"/>
        <w:gridCol w:w="1417"/>
        <w:gridCol w:w="1417"/>
        <w:gridCol w:w="1417"/>
      </w:tblGrid>
      <w:tr w:rsidR="00B9052C" w:rsidRPr="004B3A6E" w14:paraId="0BD7E4E6" w14:textId="77777777" w:rsidTr="001A7839">
        <w:trPr>
          <w:trHeight w:val="687"/>
          <w:jc w:val="center"/>
        </w:trPr>
        <w:tc>
          <w:tcPr>
            <w:tcW w:w="1417" w:type="dxa"/>
          </w:tcPr>
          <w:p w14:paraId="5E96AAB2" w14:textId="77777777" w:rsidR="00B9052C" w:rsidRPr="004B3A6E" w:rsidRDefault="00B9052C" w:rsidP="00830E1F">
            <w:pPr>
              <w:jc w:val="center"/>
              <w:rPr>
                <w:rFonts w:eastAsia="Calibri" w:cs="Arial"/>
                <w:i/>
                <w:szCs w:val="22"/>
              </w:rPr>
            </w:pPr>
            <w:r w:rsidRPr="004B3A6E">
              <w:rPr>
                <w:noProof/>
              </w:rPr>
              <w:drawing>
                <wp:inline distT="0" distB="0" distL="0" distR="0" wp14:anchorId="29E08700" wp14:editId="359A7230">
                  <wp:extent cx="288000" cy="288000"/>
                  <wp:effectExtent l="0" t="0" r="0" b="0"/>
                  <wp:docPr id="201" name="Grafik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417" w:type="dxa"/>
          </w:tcPr>
          <w:p w14:paraId="551F46DB" w14:textId="77777777" w:rsidR="00B9052C" w:rsidRPr="004B3A6E" w:rsidRDefault="00B9052C" w:rsidP="00830E1F">
            <w:pPr>
              <w:jc w:val="center"/>
              <w:rPr>
                <w:rFonts w:eastAsia="Calibri" w:cs="Arial"/>
                <w:i/>
                <w:szCs w:val="22"/>
              </w:rPr>
            </w:pPr>
            <w:r w:rsidRPr="004B3A6E">
              <w:rPr>
                <w:noProof/>
              </w:rPr>
              <w:drawing>
                <wp:inline distT="0" distB="0" distL="0" distR="0" wp14:anchorId="329E9953" wp14:editId="579AB7C0">
                  <wp:extent cx="288000" cy="288000"/>
                  <wp:effectExtent l="0" t="0" r="0" b="0"/>
                  <wp:docPr id="200" name="Grafik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417" w:type="dxa"/>
          </w:tcPr>
          <w:p w14:paraId="2BEE1162" w14:textId="77777777" w:rsidR="00B9052C" w:rsidRPr="004B3A6E" w:rsidRDefault="00B9052C" w:rsidP="00830E1F">
            <w:pPr>
              <w:jc w:val="center"/>
              <w:rPr>
                <w:rFonts w:eastAsia="Calibri" w:cs="Arial"/>
                <w:i/>
                <w:szCs w:val="22"/>
              </w:rPr>
            </w:pPr>
            <w:r w:rsidRPr="004B3A6E">
              <w:rPr>
                <w:noProof/>
              </w:rPr>
              <w:drawing>
                <wp:inline distT="0" distB="0" distL="0" distR="0" wp14:anchorId="2FF2F09D" wp14:editId="395A693D">
                  <wp:extent cx="288000" cy="288000"/>
                  <wp:effectExtent l="0" t="0" r="0" b="0"/>
                  <wp:docPr id="202" name="Grafik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417" w:type="dxa"/>
          </w:tcPr>
          <w:p w14:paraId="671D9D90" w14:textId="77777777" w:rsidR="00B9052C" w:rsidRPr="004B3A6E" w:rsidRDefault="00B9052C" w:rsidP="00830E1F">
            <w:pPr>
              <w:jc w:val="center"/>
              <w:rPr>
                <w:rFonts w:eastAsia="Calibri" w:cs="Arial"/>
                <w:i/>
                <w:szCs w:val="22"/>
              </w:rPr>
            </w:pPr>
            <w:r w:rsidRPr="004B3A6E">
              <w:rPr>
                <w:noProof/>
              </w:rPr>
              <w:drawing>
                <wp:inline distT="0" distB="0" distL="0" distR="0" wp14:anchorId="69E508F9" wp14:editId="409FFB28">
                  <wp:extent cx="250106" cy="288000"/>
                  <wp:effectExtent l="0" t="0" r="0" b="0"/>
                  <wp:docPr id="203" name="Grafik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50106" cy="288000"/>
                          </a:xfrm>
                          <a:prstGeom prst="rect">
                            <a:avLst/>
                          </a:prstGeom>
                          <a:noFill/>
                          <a:ln>
                            <a:noFill/>
                          </a:ln>
                        </pic:spPr>
                      </pic:pic>
                    </a:graphicData>
                  </a:graphic>
                </wp:inline>
              </w:drawing>
            </w:r>
          </w:p>
        </w:tc>
        <w:tc>
          <w:tcPr>
            <w:tcW w:w="1417" w:type="dxa"/>
          </w:tcPr>
          <w:p w14:paraId="763289A8" w14:textId="77777777" w:rsidR="00B9052C" w:rsidRPr="004B3A6E" w:rsidRDefault="00B9052C" w:rsidP="00830E1F">
            <w:pPr>
              <w:jc w:val="center"/>
              <w:rPr>
                <w:rFonts w:eastAsia="Calibri" w:cs="Arial"/>
                <w:i/>
                <w:szCs w:val="22"/>
              </w:rPr>
            </w:pPr>
            <w:r w:rsidRPr="004B3A6E">
              <w:rPr>
                <w:noProof/>
              </w:rPr>
              <w:drawing>
                <wp:inline distT="0" distB="0" distL="0" distR="0" wp14:anchorId="26C96B6C" wp14:editId="672D3CE8">
                  <wp:extent cx="405975" cy="288000"/>
                  <wp:effectExtent l="0" t="0" r="0" b="0"/>
                  <wp:docPr id="199" name="Grafik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405975" cy="288000"/>
                          </a:xfrm>
                          <a:prstGeom prst="rect">
                            <a:avLst/>
                          </a:prstGeom>
                          <a:noFill/>
                          <a:ln>
                            <a:noFill/>
                          </a:ln>
                        </pic:spPr>
                      </pic:pic>
                    </a:graphicData>
                  </a:graphic>
                </wp:inline>
              </w:drawing>
            </w:r>
          </w:p>
        </w:tc>
      </w:tr>
      <w:tr w:rsidR="00A86710" w:rsidRPr="004B3A6E" w14:paraId="25DF1785" w14:textId="77777777" w:rsidTr="001A7839">
        <w:trPr>
          <w:trHeight w:val="580"/>
          <w:jc w:val="center"/>
        </w:trPr>
        <w:tc>
          <w:tcPr>
            <w:tcW w:w="1417" w:type="dxa"/>
          </w:tcPr>
          <w:p w14:paraId="74751090" w14:textId="609CE0C0" w:rsidR="00244754" w:rsidRPr="004B3A6E" w:rsidRDefault="00701E94" w:rsidP="001A7839">
            <w:pPr>
              <w:spacing w:after="120" w:line="240" w:lineRule="auto"/>
              <w:jc w:val="center"/>
              <w:rPr>
                <w:rStyle w:val="Hyperlink"/>
                <w:rFonts w:eastAsia="Calibri"/>
                <w:color w:val="767171" w:themeColor="background2" w:themeShade="80"/>
              </w:rPr>
            </w:pPr>
            <w:hyperlink r:id="rId15" w:history="1">
              <w:r w:rsidR="00B9052C" w:rsidRPr="004B3A6E">
                <w:rPr>
                  <w:rStyle w:val="Hyperlink"/>
                  <w:color w:val="767171" w:themeColor="background2" w:themeShade="80"/>
                </w:rPr>
                <w:t xml:space="preserve">Instagram </w:t>
              </w:r>
            </w:hyperlink>
          </w:p>
        </w:tc>
        <w:tc>
          <w:tcPr>
            <w:tcW w:w="1417" w:type="dxa"/>
          </w:tcPr>
          <w:p w14:paraId="4A094951" w14:textId="62E0AEC0" w:rsidR="00244754" w:rsidRPr="004B3A6E" w:rsidRDefault="00701E94" w:rsidP="001A7839">
            <w:pPr>
              <w:spacing w:after="120" w:line="240" w:lineRule="auto"/>
              <w:jc w:val="center"/>
              <w:rPr>
                <w:rStyle w:val="Hyperlink"/>
                <w:rFonts w:eastAsia="Calibri"/>
                <w:color w:val="767171" w:themeColor="background2" w:themeShade="80"/>
              </w:rPr>
            </w:pPr>
            <w:hyperlink r:id="rId16" w:history="1">
              <w:r w:rsidR="00B9052C" w:rsidRPr="004B3A6E">
                <w:rPr>
                  <w:rStyle w:val="Hyperlink"/>
                  <w:color w:val="767171" w:themeColor="background2" w:themeShade="80"/>
                </w:rPr>
                <w:t>Facebook</w:t>
              </w:r>
            </w:hyperlink>
          </w:p>
        </w:tc>
        <w:tc>
          <w:tcPr>
            <w:tcW w:w="1417" w:type="dxa"/>
          </w:tcPr>
          <w:p w14:paraId="614E7C92" w14:textId="6B67504A" w:rsidR="00B50A00" w:rsidRPr="004B3A6E" w:rsidRDefault="00701E94" w:rsidP="001A7839">
            <w:pPr>
              <w:spacing w:after="120" w:line="240" w:lineRule="auto"/>
              <w:jc w:val="center"/>
              <w:rPr>
                <w:rStyle w:val="Hyperlink"/>
                <w:rFonts w:eastAsia="Calibri"/>
                <w:color w:val="767171" w:themeColor="background2" w:themeShade="80"/>
              </w:rPr>
            </w:pPr>
            <w:hyperlink r:id="rId17" w:history="1">
              <w:r w:rsidR="00A86710" w:rsidRPr="004B3A6E">
                <w:rPr>
                  <w:rStyle w:val="Hyperlink"/>
                  <w:color w:val="767171" w:themeColor="background2" w:themeShade="80"/>
                </w:rPr>
                <w:t xml:space="preserve">LinkedIn </w:t>
              </w:r>
            </w:hyperlink>
          </w:p>
        </w:tc>
        <w:tc>
          <w:tcPr>
            <w:tcW w:w="1417" w:type="dxa"/>
          </w:tcPr>
          <w:p w14:paraId="1B0DC635" w14:textId="7580267C" w:rsidR="00A86710" w:rsidRPr="004B3A6E" w:rsidRDefault="00701E94" w:rsidP="00244754">
            <w:pPr>
              <w:spacing w:after="120" w:line="240" w:lineRule="auto"/>
              <w:jc w:val="center"/>
              <w:rPr>
                <w:rStyle w:val="Hyperlink"/>
                <w:rFonts w:eastAsia="Calibri"/>
                <w:color w:val="767171" w:themeColor="background2" w:themeShade="80"/>
              </w:rPr>
            </w:pPr>
            <w:hyperlink r:id="rId18" w:history="1">
              <w:r w:rsidR="00B9052C" w:rsidRPr="004B3A6E">
                <w:rPr>
                  <w:rStyle w:val="Hyperlink"/>
                  <w:color w:val="767171" w:themeColor="background2" w:themeShade="80"/>
                </w:rPr>
                <w:t xml:space="preserve">TikTok </w:t>
              </w:r>
            </w:hyperlink>
          </w:p>
        </w:tc>
        <w:tc>
          <w:tcPr>
            <w:tcW w:w="1417" w:type="dxa"/>
          </w:tcPr>
          <w:p w14:paraId="7A799892" w14:textId="505149C6" w:rsidR="00244754" w:rsidRPr="004B3A6E" w:rsidRDefault="00701E94" w:rsidP="007747CD">
            <w:pPr>
              <w:spacing w:after="120" w:line="240" w:lineRule="auto"/>
              <w:jc w:val="center"/>
              <w:rPr>
                <w:rStyle w:val="Hyperlink"/>
                <w:rFonts w:eastAsia="Calibri" w:cs="Arial"/>
                <w:color w:val="767171" w:themeColor="background2" w:themeShade="80"/>
                <w:szCs w:val="22"/>
              </w:rPr>
            </w:pPr>
            <w:hyperlink r:id="rId19" w:history="1">
              <w:r w:rsidR="00B9052C" w:rsidRPr="004B3A6E">
                <w:rPr>
                  <w:rStyle w:val="Hyperlink"/>
                  <w:color w:val="767171" w:themeColor="background2" w:themeShade="80"/>
                </w:rPr>
                <w:t xml:space="preserve">YouTube </w:t>
              </w:r>
            </w:hyperlink>
          </w:p>
        </w:tc>
      </w:tr>
    </w:tbl>
    <w:p w14:paraId="0C41950C" w14:textId="23457F65" w:rsidR="00391748" w:rsidRDefault="00391748" w:rsidP="00770494">
      <w:pPr>
        <w:spacing w:after="240" w:line="240" w:lineRule="auto"/>
        <w:jc w:val="both"/>
        <w:rPr>
          <w:rFonts w:cs="Arial"/>
          <w:b/>
          <w:bCs/>
          <w:sz w:val="18"/>
          <w:szCs w:val="22"/>
        </w:rPr>
      </w:pPr>
    </w:p>
    <w:p w14:paraId="3C34F9D8" w14:textId="77777777" w:rsidR="00391748" w:rsidRDefault="00391748">
      <w:pPr>
        <w:suppressAutoHyphens w:val="0"/>
        <w:spacing w:line="240" w:lineRule="auto"/>
        <w:rPr>
          <w:rFonts w:cs="Arial"/>
          <w:b/>
          <w:bCs/>
          <w:sz w:val="18"/>
          <w:szCs w:val="22"/>
        </w:rPr>
      </w:pPr>
      <w:r>
        <w:rPr>
          <w:rFonts w:cs="Arial"/>
          <w:b/>
          <w:bCs/>
          <w:sz w:val="18"/>
          <w:szCs w:val="22"/>
        </w:rPr>
        <w:br w:type="page"/>
      </w:r>
    </w:p>
    <w:p w14:paraId="32633719" w14:textId="77777777" w:rsidR="001A7839" w:rsidRPr="004B3A6E" w:rsidRDefault="001A7839" w:rsidP="00770494">
      <w:pPr>
        <w:spacing w:after="240" w:line="240" w:lineRule="auto"/>
        <w:jc w:val="both"/>
        <w:rPr>
          <w:rFonts w:cs="Arial"/>
          <w:b/>
          <w:bCs/>
          <w:sz w:val="18"/>
          <w:szCs w:val="22"/>
        </w:rPr>
      </w:pPr>
    </w:p>
    <w:p w14:paraId="1652FFE1" w14:textId="42F35646" w:rsidR="00E3400D" w:rsidRPr="004B3A6E" w:rsidRDefault="00E3400D" w:rsidP="00770494">
      <w:pPr>
        <w:spacing w:after="240" w:line="240" w:lineRule="auto"/>
        <w:jc w:val="both"/>
        <w:rPr>
          <w:rFonts w:cs="Arial"/>
          <w:b/>
          <w:bCs/>
          <w:sz w:val="18"/>
          <w:szCs w:val="22"/>
        </w:rPr>
      </w:pPr>
      <w:bookmarkStart w:id="3" w:name="_Hlk193629004"/>
      <w:r w:rsidRPr="004B3A6E">
        <w:rPr>
          <w:b/>
          <w:sz w:val="18"/>
        </w:rPr>
        <w:t>Your contact:</w:t>
      </w:r>
    </w:p>
    <w:p w14:paraId="7ADD3F3B" w14:textId="77777777" w:rsidR="00A21B26" w:rsidRPr="004B3A6E" w:rsidRDefault="00A21B26" w:rsidP="00A21B26">
      <w:pPr>
        <w:pBdr>
          <w:top w:val="nil"/>
          <w:left w:val="nil"/>
          <w:bottom w:val="nil"/>
          <w:right w:val="nil"/>
          <w:between w:val="nil"/>
        </w:pBdr>
        <w:tabs>
          <w:tab w:val="left" w:pos="3240"/>
        </w:tabs>
        <w:spacing w:line="240" w:lineRule="auto"/>
        <w:jc w:val="both"/>
        <w:rPr>
          <w:rFonts w:eastAsia="Arial" w:cs="Arial"/>
          <w:color w:val="000000"/>
          <w:sz w:val="18"/>
          <w:szCs w:val="18"/>
        </w:rPr>
      </w:pPr>
      <w:r w:rsidRPr="004B3A6E">
        <w:rPr>
          <w:b/>
          <w:color w:val="000000"/>
          <w:sz w:val="18"/>
        </w:rPr>
        <w:t xml:space="preserve">Monika Westermayr </w:t>
      </w:r>
      <w:r w:rsidRPr="004B3A6E">
        <w:rPr>
          <w:b/>
          <w:color w:val="000000"/>
          <w:sz w:val="18"/>
        </w:rPr>
        <w:tab/>
      </w:r>
      <w:r w:rsidRPr="004B3A6E">
        <w:rPr>
          <w:b/>
          <w:color w:val="000000"/>
          <w:sz w:val="18"/>
        </w:rPr>
        <w:tab/>
      </w:r>
      <w:r w:rsidRPr="004B3A6E">
        <w:rPr>
          <w:b/>
          <w:color w:val="000000"/>
          <w:sz w:val="18"/>
        </w:rPr>
        <w:tab/>
      </w:r>
      <w:r w:rsidRPr="004B3A6E">
        <w:rPr>
          <w:b/>
          <w:color w:val="000000"/>
          <w:sz w:val="18"/>
        </w:rPr>
        <w:tab/>
      </w:r>
    </w:p>
    <w:p w14:paraId="6C277253" w14:textId="14CFAA28" w:rsidR="00E3400D" w:rsidRPr="004B3A6E" w:rsidRDefault="00A21B26" w:rsidP="00A21B26">
      <w:pPr>
        <w:pBdr>
          <w:top w:val="nil"/>
          <w:left w:val="nil"/>
          <w:bottom w:val="nil"/>
          <w:right w:val="nil"/>
          <w:between w:val="nil"/>
        </w:pBdr>
        <w:tabs>
          <w:tab w:val="left" w:pos="3240"/>
        </w:tabs>
        <w:spacing w:line="240" w:lineRule="auto"/>
        <w:jc w:val="both"/>
        <w:rPr>
          <w:rFonts w:eastAsia="Arial" w:cs="Arial"/>
          <w:color w:val="000000"/>
          <w:sz w:val="18"/>
          <w:szCs w:val="18"/>
        </w:rPr>
      </w:pPr>
      <w:r w:rsidRPr="004B3A6E">
        <w:rPr>
          <w:color w:val="000000"/>
          <w:sz w:val="18"/>
        </w:rPr>
        <w:t>Corporate Communications Manager</w:t>
      </w:r>
      <w:r w:rsidRPr="004B3A6E">
        <w:rPr>
          <w:color w:val="000000"/>
          <w:sz w:val="18"/>
        </w:rPr>
        <w:tab/>
      </w:r>
      <w:r w:rsidRPr="004B3A6E">
        <w:rPr>
          <w:color w:val="000000"/>
          <w:sz w:val="18"/>
        </w:rPr>
        <w:tab/>
      </w:r>
      <w:r w:rsidRPr="004B3A6E">
        <w:rPr>
          <w:color w:val="000000"/>
          <w:sz w:val="18"/>
        </w:rPr>
        <w:tab/>
      </w:r>
      <w:r w:rsidRPr="004B3A6E">
        <w:rPr>
          <w:color w:val="000000"/>
          <w:sz w:val="18"/>
        </w:rPr>
        <w:tab/>
      </w:r>
    </w:p>
    <w:p w14:paraId="4059C7C6" w14:textId="21EF3889" w:rsidR="00E3400D" w:rsidRPr="004B3A6E" w:rsidRDefault="00E3400D" w:rsidP="00770494">
      <w:pPr>
        <w:pBdr>
          <w:top w:val="nil"/>
          <w:left w:val="nil"/>
          <w:bottom w:val="nil"/>
          <w:right w:val="nil"/>
          <w:between w:val="nil"/>
        </w:pBdr>
        <w:tabs>
          <w:tab w:val="left" w:pos="3240"/>
        </w:tabs>
        <w:spacing w:line="240" w:lineRule="auto"/>
        <w:jc w:val="both"/>
        <w:rPr>
          <w:rFonts w:eastAsia="Arial" w:cs="Arial"/>
          <w:color w:val="000000"/>
          <w:sz w:val="18"/>
          <w:szCs w:val="18"/>
        </w:rPr>
      </w:pPr>
      <w:r w:rsidRPr="004B3A6E">
        <w:rPr>
          <w:color w:val="000000"/>
          <w:sz w:val="18"/>
        </w:rPr>
        <w:t>Wacker</w:t>
      </w:r>
      <w:r w:rsidR="003A05B3" w:rsidRPr="004B3A6E">
        <w:rPr>
          <w:color w:val="000000"/>
          <w:sz w:val="18"/>
        </w:rPr>
        <w:t> </w:t>
      </w:r>
      <w:r w:rsidRPr="004B3A6E">
        <w:rPr>
          <w:color w:val="000000"/>
          <w:sz w:val="18"/>
        </w:rPr>
        <w:t>Neuson SE</w:t>
      </w:r>
      <w:r w:rsidRPr="004B3A6E">
        <w:rPr>
          <w:color w:val="000000"/>
          <w:sz w:val="18"/>
        </w:rPr>
        <w:tab/>
      </w:r>
      <w:r w:rsidRPr="004B3A6E">
        <w:rPr>
          <w:color w:val="000000"/>
          <w:sz w:val="18"/>
        </w:rPr>
        <w:tab/>
      </w:r>
      <w:r w:rsidRPr="004B3A6E">
        <w:rPr>
          <w:color w:val="000000"/>
          <w:sz w:val="18"/>
        </w:rPr>
        <w:tab/>
      </w:r>
      <w:r w:rsidRPr="004B3A6E">
        <w:rPr>
          <w:color w:val="000000"/>
          <w:sz w:val="18"/>
        </w:rPr>
        <w:tab/>
      </w:r>
    </w:p>
    <w:p w14:paraId="4F51C6E1" w14:textId="77777777" w:rsidR="00E3400D" w:rsidRPr="004B3A6E" w:rsidRDefault="00E3400D" w:rsidP="00770494">
      <w:pPr>
        <w:pBdr>
          <w:top w:val="nil"/>
          <w:left w:val="nil"/>
          <w:bottom w:val="nil"/>
          <w:right w:val="nil"/>
          <w:between w:val="nil"/>
        </w:pBdr>
        <w:tabs>
          <w:tab w:val="left" w:pos="3240"/>
        </w:tabs>
        <w:spacing w:line="240" w:lineRule="auto"/>
        <w:jc w:val="both"/>
        <w:rPr>
          <w:rFonts w:eastAsia="Arial" w:cs="Arial"/>
          <w:color w:val="000000"/>
          <w:sz w:val="18"/>
          <w:szCs w:val="18"/>
        </w:rPr>
      </w:pPr>
      <w:proofErr w:type="spellStart"/>
      <w:r w:rsidRPr="004B3A6E">
        <w:rPr>
          <w:color w:val="000000"/>
          <w:sz w:val="18"/>
        </w:rPr>
        <w:t>Preußenstraße</w:t>
      </w:r>
      <w:proofErr w:type="spellEnd"/>
      <w:r w:rsidRPr="004B3A6E">
        <w:rPr>
          <w:color w:val="000000"/>
          <w:sz w:val="18"/>
        </w:rPr>
        <w:t xml:space="preserve"> 41</w:t>
      </w:r>
      <w:r w:rsidRPr="004B3A6E">
        <w:rPr>
          <w:color w:val="000000"/>
          <w:sz w:val="18"/>
        </w:rPr>
        <w:tab/>
      </w:r>
      <w:r w:rsidRPr="004B3A6E">
        <w:rPr>
          <w:color w:val="000000"/>
          <w:sz w:val="18"/>
        </w:rPr>
        <w:tab/>
      </w:r>
      <w:r w:rsidRPr="004B3A6E">
        <w:rPr>
          <w:color w:val="000000"/>
          <w:sz w:val="18"/>
        </w:rPr>
        <w:tab/>
      </w:r>
      <w:r w:rsidRPr="004B3A6E">
        <w:rPr>
          <w:color w:val="000000"/>
          <w:sz w:val="18"/>
        </w:rPr>
        <w:tab/>
      </w:r>
    </w:p>
    <w:p w14:paraId="0F477850" w14:textId="77777777" w:rsidR="00E3400D" w:rsidRPr="004B3A6E" w:rsidRDefault="00E3400D" w:rsidP="00770494">
      <w:pPr>
        <w:pBdr>
          <w:top w:val="nil"/>
          <w:left w:val="nil"/>
          <w:bottom w:val="nil"/>
          <w:right w:val="nil"/>
          <w:between w:val="nil"/>
        </w:pBdr>
        <w:tabs>
          <w:tab w:val="left" w:pos="3240"/>
        </w:tabs>
        <w:spacing w:line="240" w:lineRule="auto"/>
        <w:jc w:val="both"/>
        <w:rPr>
          <w:rFonts w:eastAsia="Arial" w:cs="Arial"/>
          <w:color w:val="000000"/>
          <w:sz w:val="18"/>
          <w:szCs w:val="18"/>
        </w:rPr>
      </w:pPr>
      <w:r w:rsidRPr="004B3A6E">
        <w:rPr>
          <w:color w:val="000000"/>
          <w:sz w:val="18"/>
        </w:rPr>
        <w:t>80809 Munich</w:t>
      </w:r>
      <w:r w:rsidRPr="004B3A6E">
        <w:rPr>
          <w:color w:val="000000"/>
          <w:sz w:val="18"/>
        </w:rPr>
        <w:tab/>
      </w:r>
      <w:r w:rsidRPr="004B3A6E">
        <w:rPr>
          <w:color w:val="000000"/>
          <w:sz w:val="18"/>
        </w:rPr>
        <w:tab/>
      </w:r>
      <w:r w:rsidRPr="004B3A6E">
        <w:rPr>
          <w:color w:val="000000"/>
          <w:sz w:val="18"/>
        </w:rPr>
        <w:tab/>
      </w:r>
      <w:r w:rsidRPr="004B3A6E">
        <w:rPr>
          <w:color w:val="000000"/>
          <w:sz w:val="18"/>
        </w:rPr>
        <w:tab/>
      </w:r>
    </w:p>
    <w:p w14:paraId="43DF4EFB" w14:textId="5F997391" w:rsidR="00E3400D" w:rsidRPr="004B3A6E" w:rsidRDefault="00E3400D" w:rsidP="00770494">
      <w:pPr>
        <w:pBdr>
          <w:top w:val="nil"/>
          <w:left w:val="nil"/>
          <w:bottom w:val="nil"/>
          <w:right w:val="nil"/>
          <w:between w:val="nil"/>
        </w:pBdr>
        <w:tabs>
          <w:tab w:val="left" w:pos="3240"/>
        </w:tabs>
        <w:spacing w:line="240" w:lineRule="auto"/>
        <w:jc w:val="both"/>
        <w:rPr>
          <w:rFonts w:eastAsia="Arial" w:cs="Arial"/>
          <w:color w:val="000000"/>
          <w:sz w:val="18"/>
          <w:szCs w:val="18"/>
        </w:rPr>
      </w:pPr>
      <w:r w:rsidRPr="004B3A6E">
        <w:rPr>
          <w:color w:val="000000"/>
          <w:sz w:val="18"/>
        </w:rPr>
        <w:t>Tel. +49-89-354 02-1224</w:t>
      </w:r>
      <w:r w:rsidRPr="004B3A6E">
        <w:rPr>
          <w:color w:val="000000"/>
          <w:sz w:val="18"/>
        </w:rPr>
        <w:tab/>
      </w:r>
      <w:r w:rsidRPr="004B3A6E">
        <w:rPr>
          <w:color w:val="000000"/>
          <w:sz w:val="18"/>
        </w:rPr>
        <w:tab/>
      </w:r>
      <w:r w:rsidRPr="004B3A6E">
        <w:rPr>
          <w:color w:val="000000"/>
          <w:sz w:val="18"/>
        </w:rPr>
        <w:tab/>
      </w:r>
      <w:r w:rsidRPr="004B3A6E">
        <w:rPr>
          <w:color w:val="000000"/>
          <w:sz w:val="18"/>
        </w:rPr>
        <w:tab/>
      </w:r>
    </w:p>
    <w:p w14:paraId="68E5DCAE" w14:textId="7075968F" w:rsidR="00E3400D" w:rsidRPr="004B3A6E" w:rsidRDefault="00A21B26" w:rsidP="00770494">
      <w:pPr>
        <w:autoSpaceDE w:val="0"/>
        <w:adjustRightInd w:val="0"/>
        <w:spacing w:line="240" w:lineRule="auto"/>
        <w:jc w:val="both"/>
        <w:rPr>
          <w:rFonts w:cs="Arial"/>
          <w:sz w:val="18"/>
        </w:rPr>
      </w:pPr>
      <w:r w:rsidRPr="004B3A6E">
        <w:rPr>
          <w:sz w:val="18"/>
        </w:rPr>
        <w:t>monika.westermayr@wackerneuson.com</w:t>
      </w:r>
    </w:p>
    <w:p w14:paraId="554FF5D2" w14:textId="77777777" w:rsidR="00E3400D" w:rsidRPr="004B3A6E" w:rsidRDefault="00E3400D" w:rsidP="00770494">
      <w:pPr>
        <w:autoSpaceDE w:val="0"/>
        <w:adjustRightInd w:val="0"/>
        <w:spacing w:line="240" w:lineRule="auto"/>
        <w:jc w:val="both"/>
        <w:rPr>
          <w:rFonts w:cs="Arial"/>
          <w:sz w:val="18"/>
        </w:rPr>
      </w:pPr>
      <w:r w:rsidRPr="004B3A6E">
        <w:rPr>
          <w:sz w:val="18"/>
        </w:rPr>
        <w:t>www.wackerneuson.com</w:t>
      </w:r>
    </w:p>
    <w:p w14:paraId="779667BB" w14:textId="77777777" w:rsidR="00E3400D" w:rsidRPr="004B3A6E" w:rsidRDefault="00E3400D" w:rsidP="00770494">
      <w:pPr>
        <w:autoSpaceDE w:val="0"/>
        <w:adjustRightInd w:val="0"/>
        <w:spacing w:line="240" w:lineRule="auto"/>
        <w:jc w:val="both"/>
        <w:rPr>
          <w:rFonts w:cs="Arial"/>
          <w:sz w:val="18"/>
        </w:rPr>
      </w:pPr>
      <w:r w:rsidRPr="004B3A6E">
        <w:rPr>
          <w:sz w:val="18"/>
        </w:rPr>
        <w:t>www.wackerneusongroup.com</w:t>
      </w:r>
      <w:r w:rsidRPr="004B3A6E">
        <w:rPr>
          <w:sz w:val="18"/>
        </w:rPr>
        <w:tab/>
      </w:r>
      <w:r w:rsidRPr="004B3A6E">
        <w:rPr>
          <w:sz w:val="18"/>
        </w:rPr>
        <w:tab/>
      </w:r>
      <w:r w:rsidRPr="004B3A6E">
        <w:rPr>
          <w:color w:val="000000"/>
          <w:sz w:val="18"/>
        </w:rPr>
        <w:t xml:space="preserve"> </w:t>
      </w:r>
      <w:r w:rsidRPr="004B3A6E">
        <w:rPr>
          <w:color w:val="000000"/>
          <w:sz w:val="18"/>
        </w:rPr>
        <w:tab/>
        <w:t xml:space="preserve"> </w:t>
      </w:r>
    </w:p>
    <w:p w14:paraId="60166718" w14:textId="77777777" w:rsidR="00E3400D" w:rsidRPr="004B3A6E" w:rsidRDefault="00E3400D" w:rsidP="00770494">
      <w:pPr>
        <w:rPr>
          <w:rFonts w:eastAsia="Calibri"/>
        </w:rPr>
      </w:pPr>
    </w:p>
    <w:bookmarkEnd w:id="0"/>
    <w:bookmarkEnd w:id="3"/>
    <w:p w14:paraId="3FA03768" w14:textId="77777777" w:rsidR="004B3A6E" w:rsidRPr="009E7960" w:rsidRDefault="004B3A6E" w:rsidP="004B3A6E">
      <w:pPr>
        <w:jc w:val="both"/>
        <w:rPr>
          <w:rFonts w:cs="Arial"/>
          <w:b/>
          <w:bCs/>
          <w:sz w:val="18"/>
          <w:szCs w:val="18"/>
        </w:rPr>
      </w:pPr>
      <w:r>
        <w:rPr>
          <w:b/>
          <w:sz w:val="18"/>
        </w:rPr>
        <w:t xml:space="preserve">About Wacker Neuson </w:t>
      </w:r>
    </w:p>
    <w:p w14:paraId="10193E07" w14:textId="665404BC" w:rsidR="007747CD" w:rsidRPr="00701E94" w:rsidRDefault="00701E94" w:rsidP="004B3A6E">
      <w:pPr>
        <w:spacing w:line="240" w:lineRule="auto"/>
        <w:jc w:val="both"/>
        <w:rPr>
          <w:sz w:val="18"/>
          <w:szCs w:val="18"/>
        </w:rPr>
      </w:pPr>
      <w:r w:rsidRPr="00701E94">
        <w:rPr>
          <w:i/>
          <w:iCs/>
          <w:sz w:val="18"/>
          <w:szCs w:val="18"/>
        </w:rPr>
        <w:t>Wacker Neuson – all it takes!</w:t>
      </w:r>
      <w:r w:rsidRPr="00701E94">
        <w:rPr>
          <w:iCs/>
          <w:sz w:val="18"/>
          <w:szCs w:val="18"/>
        </w:rPr>
        <w:t xml:space="preserve"> Wacker Neuson makes this promise to customers worldwide, with a comprehensive product range of construction machines and equipment, spare parts and services. Supporting the efficient construction site of today and tomorrow, Wacker Neuson is an industry expert and go-to partner for customers. The scope of our product portfolio includes concrete consolidation, soil and asphalt compaction, lighting, generators, and pumps, as well as compact excavators, telehandlers, loaders, and dumpers. As a trailblazer, Wacker Neuson helps keep customers ready for the future with battery-powered, zero emission products and various digital solutions. With seven international production sites, sales and service organizations in more than 35 countries, numerous partner locations across the globe, and state-of-the-art logistics facilities, Wacker Neuson has a comprehensive worldwide prese</w:t>
      </w:r>
      <w:bookmarkStart w:id="4" w:name="_GoBack"/>
      <w:bookmarkEnd w:id="4"/>
      <w:r w:rsidRPr="00701E94">
        <w:rPr>
          <w:iCs/>
          <w:sz w:val="18"/>
          <w:szCs w:val="18"/>
        </w:rPr>
        <w:t>nce. The commitment of Wacker Neuson to the diverse requirements of its customers ensures the delivery of innovative solutions to various industries, including construction, gardening and landscaping, as well as road building and other municipal work. The brand is supported by the Wacker Neuson Group, a corporation with around 6,000 employees worldwide and a turnover of EUR 2.2 billion in 2024.</w:t>
      </w:r>
    </w:p>
    <w:sectPr w:rsidR="007747CD" w:rsidRPr="00701E94">
      <w:headerReference w:type="default" r:id="rId20"/>
      <w:footerReference w:type="default" r:id="rId21"/>
      <w:pgSz w:w="11907" w:h="16840"/>
      <w:pgMar w:top="1814" w:right="1418" w:bottom="1134" w:left="1418" w:header="51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EA57F" w14:textId="77777777" w:rsidR="008E70A9" w:rsidRDefault="008E70A9">
      <w:pPr>
        <w:spacing w:line="240" w:lineRule="auto"/>
      </w:pPr>
      <w:r>
        <w:separator/>
      </w:r>
    </w:p>
  </w:endnote>
  <w:endnote w:type="continuationSeparator" w:id="0">
    <w:p w14:paraId="30D6A868" w14:textId="77777777" w:rsidR="008E70A9" w:rsidRDefault="008E70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65 Medium">
    <w:altName w:val="Trebuchet MS"/>
    <w:charset w:val="00"/>
    <w:family w:val="auto"/>
    <w:pitch w:val="variable"/>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DCF" w14:textId="77777777" w:rsidR="00830E1F" w:rsidRDefault="00E3400D">
    <w:pPr>
      <w:pStyle w:val="Fuzeile"/>
      <w:ind w:right="360"/>
    </w:pPr>
    <w:r>
      <w:rPr>
        <w:noProof/>
      </w:rPr>
      <mc:AlternateContent>
        <mc:Choice Requires="wps">
          <w:drawing>
            <wp:anchor distT="0" distB="0" distL="114300" distR="114300" simplePos="0" relativeHeight="251662336" behindDoc="0" locked="0" layoutInCell="1" allowOverlap="1" wp14:anchorId="08F70E8B" wp14:editId="08F5A47F">
              <wp:simplePos x="0" y="0"/>
              <wp:positionH relativeFrom="margin">
                <wp:align>right</wp:align>
              </wp:positionH>
              <wp:positionV relativeFrom="paragraph">
                <wp:posOffset>548</wp:posOffset>
              </wp:positionV>
              <wp:extent cx="0" cy="0"/>
              <wp:effectExtent l="0" t="0" r="0" b="0"/>
              <wp:wrapSquare wrapText="bothSides"/>
              <wp:docPr id="5" name="Textfeld 5"/>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CA3475C" w14:textId="5824CC74" w:rsidR="00830E1F" w:rsidRDefault="00E3400D">
                          <w:pPr>
                            <w:pStyle w:val="Fuzeile"/>
                          </w:pPr>
                          <w:r>
                            <w:rPr>
                              <w:rStyle w:val="Seitenzahl"/>
                            </w:rPr>
                            <w:fldChar w:fldCharType="begin"/>
                          </w:r>
                          <w:r>
                            <w:rPr>
                              <w:rStyle w:val="Seitenzahl"/>
                            </w:rPr>
                            <w:instrText xml:space="preserve"> PAGE </w:instrText>
                          </w:r>
                          <w:r>
                            <w:rPr>
                              <w:rStyle w:val="Seitenzahl"/>
                            </w:rPr>
                            <w:fldChar w:fldCharType="separate"/>
                          </w:r>
                          <w:r w:rsidR="00C95A11">
                            <w:rPr>
                              <w:rStyle w:val="Seitenzahl"/>
                            </w:rPr>
                            <w:t>2</w:t>
                          </w:r>
                          <w:r>
                            <w:rPr>
                              <w:rStyle w:val="Seitenzahl"/>
                            </w:rPr>
                            <w:fldChar w:fldCharType="end"/>
                          </w:r>
                        </w:p>
                      </w:txbxContent>
                    </wps:txbx>
                    <wps:bodyPr wrap="none" lIns="0" tIns="0" rIns="0" bIns="0">
                      <a:spAutoFit/>
                    </wps:bodyPr>
                  </wps:wsp>
                </a:graphicData>
              </a:graphic>
            </wp:anchor>
          </w:drawing>
        </mc:Choice>
        <mc:Fallback>
          <w:pict>
            <v:shapetype w14:anchorId="08F70E8B" id="_x0000_t202" coordsize="21600,21600" o:spt="202" path="m,l,21600r21600,l21600,xe">
              <v:stroke joinstyle="miter"/>
              <v:path gradientshapeok="t" o:connecttype="rect"/>
            </v:shapetype>
            <v:shape id="Textfeld 5" o:spid="_x0000_s1026" type="#_x0000_t202" style="position:absolute;margin-left:-51.2pt;margin-top:.05pt;width:0;height:0;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" filled="f" stroked="f">
              <v:textbox style="mso-fit-shape-to-text:t" inset="0,0,0,0">
                <w:txbxContent>
                  <w:p w14:paraId="0CA3475C" w14:textId="5824CC74" w:rsidR="00830E1F" w:rsidRDefault="00E3400D">
                    <w:pPr>
                      <w:pStyle w:val="Fuzeile"/>
                    </w:pPr>
                    <w:r>
                      <w:rPr>
                        <w:rStyle w:val="Seitenzahl"/>
                      </w:rPr>
                      <w:fldChar w:fldCharType="begin"/>
                    </w:r>
                    <w:r>
                      <w:rPr>
                        <w:rStyle w:val="Seitenzahl"/>
                      </w:rPr>
                      <w:instrText xml:space="preserve"> PAGE </w:instrText>
                    </w:r>
                    <w:r>
                      <w:rPr>
                        <w:rStyle w:val="Seitenzahl"/>
                      </w:rPr>
                      <w:fldChar w:fldCharType="separate"/>
                    </w:r>
                    <w:r w:rsidR="00C95A11">
                      <w:rPr>
                        <w:rStyle w:val="Seitenzahl"/>
                      </w:rPr>
                      <w:t>2</w:t>
                    </w:r>
                    <w:r>
                      <w:rPr>
                        <w:rStyle w:val="Seitenzahl"/>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7F894" w14:textId="77777777" w:rsidR="008E70A9" w:rsidRDefault="008E70A9">
      <w:pPr>
        <w:spacing w:line="240" w:lineRule="auto"/>
      </w:pPr>
      <w:r>
        <w:rPr>
          <w:color w:val="000000"/>
        </w:rPr>
        <w:separator/>
      </w:r>
    </w:p>
  </w:footnote>
  <w:footnote w:type="continuationSeparator" w:id="0">
    <w:p w14:paraId="370B024F" w14:textId="77777777" w:rsidR="008E70A9" w:rsidRDefault="008E70A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D8879" w14:textId="2A20B05E" w:rsidR="00830E1F" w:rsidRDefault="00A9633B">
    <w:pPr>
      <w:pStyle w:val="Kopfzeile"/>
      <w:spacing w:line="240" w:lineRule="auto"/>
    </w:pPr>
    <w:r>
      <w:rPr>
        <w:b/>
        <w:noProof/>
        <w:color w:val="535E5D"/>
        <w:sz w:val="52"/>
      </w:rPr>
      <w:drawing>
        <wp:anchor distT="0" distB="0" distL="114300" distR="114300" simplePos="0" relativeHeight="251664384" behindDoc="0" locked="0" layoutInCell="1" allowOverlap="1" wp14:anchorId="03BA5FD5" wp14:editId="546C07EF">
          <wp:simplePos x="0" y="0"/>
          <wp:positionH relativeFrom="margin">
            <wp:posOffset>4032737</wp:posOffset>
          </wp:positionH>
          <wp:positionV relativeFrom="page">
            <wp:posOffset>255447</wp:posOffset>
          </wp:positionV>
          <wp:extent cx="2276475" cy="756285"/>
          <wp:effectExtent l="0" t="0" r="9525" b="571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6475" cy="7562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3294D9E" w14:textId="4DC21807" w:rsidR="00830E1F" w:rsidRDefault="00830E1F">
    <w:pPr>
      <w:pStyle w:val="Kopfzeile"/>
      <w:spacing w:line="240" w:lineRule="auto"/>
      <w:rPr>
        <w:sz w:val="16"/>
        <w:szCs w:val="16"/>
      </w:rPr>
    </w:pPr>
  </w:p>
  <w:p w14:paraId="22938110" w14:textId="77777777" w:rsidR="00830E1F" w:rsidRDefault="00830E1F">
    <w:pPr>
      <w:pStyle w:val="Kopfzeile"/>
      <w:spacing w:line="240" w:lineRule="auto"/>
      <w:rPr>
        <w:sz w:val="16"/>
        <w:szCs w:val="16"/>
      </w:rPr>
    </w:pPr>
  </w:p>
  <w:p w14:paraId="0FCB146A" w14:textId="77777777" w:rsidR="00830E1F" w:rsidRDefault="00830E1F">
    <w:pPr>
      <w:pStyle w:val="Kopfzeile"/>
      <w:spacing w:line="240" w:lineRule="auto"/>
      <w:rPr>
        <w:b/>
        <w:color w:val="535E5D"/>
        <w:sz w:val="52"/>
        <w:szCs w:val="52"/>
      </w:rPr>
    </w:pPr>
  </w:p>
  <w:p w14:paraId="7CDAD290" w14:textId="00D3F655" w:rsidR="00830E1F" w:rsidRDefault="00353D22">
    <w:pPr>
      <w:pStyle w:val="Kopfzeile"/>
      <w:spacing w:line="240" w:lineRule="auto"/>
      <w:rPr>
        <w:b/>
        <w:color w:val="535E5D"/>
        <w:sz w:val="52"/>
        <w:szCs w:val="52"/>
      </w:rPr>
    </w:pPr>
    <w:bookmarkStart w:id="5" w:name="_Hlk89767159"/>
    <w:r>
      <w:rPr>
        <w:b/>
        <w:color w:val="535E5D"/>
        <w:sz w:val="52"/>
      </w:rPr>
      <w:t xml:space="preserve">Press </w:t>
    </w:r>
    <w:r w:rsidR="00A90121">
      <w:rPr>
        <w:b/>
        <w:color w:val="535E5D"/>
        <w:sz w:val="52"/>
      </w:rPr>
      <w:t>release</w:t>
    </w:r>
  </w:p>
  <w:bookmarkEnd w:id="5"/>
  <w:p w14:paraId="74F43964" w14:textId="3DDE4BB1" w:rsidR="00830E1F" w:rsidRDefault="00830E1F">
    <w:pPr>
      <w:pStyle w:val="Kopfzeile"/>
      <w:spacing w:line="240" w:lineRule="auto"/>
    </w:pPr>
  </w:p>
  <w:p w14:paraId="140A92C8" w14:textId="74ADAF16" w:rsidR="00843C3B" w:rsidRDefault="00843C3B">
    <w:pPr>
      <w:pStyle w:val="Kopfzeile"/>
      <w:spacing w:line="240" w:lineRule="auto"/>
    </w:pPr>
  </w:p>
  <w:p w14:paraId="4622D42E" w14:textId="77777777" w:rsidR="00843C3B" w:rsidRDefault="00843C3B">
    <w:pPr>
      <w:pStyle w:val="Kopfzeile"/>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F5F8C"/>
    <w:multiLevelType w:val="hybridMultilevel"/>
    <w:tmpl w:val="A12CBA48"/>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9C4C1E"/>
    <w:multiLevelType w:val="hybridMultilevel"/>
    <w:tmpl w:val="ACC20C8A"/>
    <w:lvl w:ilvl="0" w:tplc="68F622B8">
      <w:start w:val="1"/>
      <w:numFmt w:val="bullet"/>
      <w:lvlText w:val=""/>
      <w:lvlJc w:val="left"/>
      <w:pPr>
        <w:tabs>
          <w:tab w:val="num" w:pos="720"/>
        </w:tabs>
        <w:ind w:left="720" w:hanging="360"/>
      </w:pPr>
      <w:rPr>
        <w:rFonts w:ascii="Wingdings" w:hAnsi="Wingdings" w:hint="default"/>
      </w:rPr>
    </w:lvl>
    <w:lvl w:ilvl="1" w:tplc="67B63CA6">
      <w:start w:val="1"/>
      <w:numFmt w:val="bullet"/>
      <w:lvlText w:val=""/>
      <w:lvlJc w:val="left"/>
      <w:pPr>
        <w:tabs>
          <w:tab w:val="num" w:pos="1440"/>
        </w:tabs>
        <w:ind w:left="1440" w:hanging="360"/>
      </w:pPr>
      <w:rPr>
        <w:rFonts w:ascii="Wingdings" w:hAnsi="Wingdings" w:hint="default"/>
      </w:rPr>
    </w:lvl>
    <w:lvl w:ilvl="2" w:tplc="1A6E4806">
      <w:start w:val="1"/>
      <w:numFmt w:val="bullet"/>
      <w:lvlText w:val=""/>
      <w:lvlJc w:val="left"/>
      <w:pPr>
        <w:tabs>
          <w:tab w:val="num" w:pos="2160"/>
        </w:tabs>
        <w:ind w:left="2160" w:hanging="360"/>
      </w:pPr>
      <w:rPr>
        <w:rFonts w:ascii="Wingdings" w:hAnsi="Wingdings" w:hint="default"/>
      </w:rPr>
    </w:lvl>
    <w:lvl w:ilvl="3" w:tplc="7952D7B6">
      <w:start w:val="1"/>
      <w:numFmt w:val="bullet"/>
      <w:lvlText w:val=""/>
      <w:lvlJc w:val="left"/>
      <w:pPr>
        <w:tabs>
          <w:tab w:val="num" w:pos="2880"/>
        </w:tabs>
        <w:ind w:left="2880" w:hanging="360"/>
      </w:pPr>
      <w:rPr>
        <w:rFonts w:ascii="Wingdings" w:hAnsi="Wingdings" w:hint="default"/>
      </w:rPr>
    </w:lvl>
    <w:lvl w:ilvl="4" w:tplc="FF5C17EC">
      <w:start w:val="1"/>
      <w:numFmt w:val="bullet"/>
      <w:lvlText w:val=""/>
      <w:lvlJc w:val="left"/>
      <w:pPr>
        <w:tabs>
          <w:tab w:val="num" w:pos="3600"/>
        </w:tabs>
        <w:ind w:left="3600" w:hanging="360"/>
      </w:pPr>
      <w:rPr>
        <w:rFonts w:ascii="Wingdings" w:hAnsi="Wingdings" w:hint="default"/>
      </w:rPr>
    </w:lvl>
    <w:lvl w:ilvl="5" w:tplc="381261F0">
      <w:start w:val="1"/>
      <w:numFmt w:val="bullet"/>
      <w:lvlText w:val=""/>
      <w:lvlJc w:val="left"/>
      <w:pPr>
        <w:tabs>
          <w:tab w:val="num" w:pos="4320"/>
        </w:tabs>
        <w:ind w:left="4320" w:hanging="360"/>
      </w:pPr>
      <w:rPr>
        <w:rFonts w:ascii="Wingdings" w:hAnsi="Wingdings" w:hint="default"/>
      </w:rPr>
    </w:lvl>
    <w:lvl w:ilvl="6" w:tplc="AE14B9AC">
      <w:start w:val="1"/>
      <w:numFmt w:val="bullet"/>
      <w:lvlText w:val=""/>
      <w:lvlJc w:val="left"/>
      <w:pPr>
        <w:tabs>
          <w:tab w:val="num" w:pos="5040"/>
        </w:tabs>
        <w:ind w:left="5040" w:hanging="360"/>
      </w:pPr>
      <w:rPr>
        <w:rFonts w:ascii="Wingdings" w:hAnsi="Wingdings" w:hint="default"/>
      </w:rPr>
    </w:lvl>
    <w:lvl w:ilvl="7" w:tplc="AF6412AA">
      <w:start w:val="1"/>
      <w:numFmt w:val="bullet"/>
      <w:lvlText w:val=""/>
      <w:lvlJc w:val="left"/>
      <w:pPr>
        <w:tabs>
          <w:tab w:val="num" w:pos="5760"/>
        </w:tabs>
        <w:ind w:left="5760" w:hanging="360"/>
      </w:pPr>
      <w:rPr>
        <w:rFonts w:ascii="Wingdings" w:hAnsi="Wingdings" w:hint="default"/>
      </w:rPr>
    </w:lvl>
    <w:lvl w:ilvl="8" w:tplc="471EB986">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246671"/>
    <w:multiLevelType w:val="hybridMultilevel"/>
    <w:tmpl w:val="943C579A"/>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86D291A"/>
    <w:multiLevelType w:val="hybridMultilevel"/>
    <w:tmpl w:val="21C28B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F06471A"/>
    <w:multiLevelType w:val="hybridMultilevel"/>
    <w:tmpl w:val="CB7A83FE"/>
    <w:lvl w:ilvl="0" w:tplc="7D1030A2">
      <w:start w:val="2021"/>
      <w:numFmt w:val="bullet"/>
      <w:lvlText w:val=""/>
      <w:lvlJc w:val="left"/>
      <w:pPr>
        <w:ind w:left="1068" w:hanging="360"/>
      </w:pPr>
      <w:rPr>
        <w:rFonts w:ascii="Wingdings" w:eastAsiaTheme="minorHAnsi" w:hAnsi="Wingdings"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5" w15:restartNumberingAfterBreak="0">
    <w:nsid w:val="36022BBB"/>
    <w:multiLevelType w:val="hybridMultilevel"/>
    <w:tmpl w:val="D67AB120"/>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B352CAF"/>
    <w:multiLevelType w:val="hybridMultilevel"/>
    <w:tmpl w:val="049AED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2880ED1"/>
    <w:multiLevelType w:val="hybridMultilevel"/>
    <w:tmpl w:val="A7DAEEA8"/>
    <w:lvl w:ilvl="0" w:tplc="E4229FC8">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43CA5DA6"/>
    <w:multiLevelType w:val="hybridMultilevel"/>
    <w:tmpl w:val="FD0AFB76"/>
    <w:lvl w:ilvl="0" w:tplc="7D1030A2">
      <w:start w:val="2021"/>
      <w:numFmt w:val="bullet"/>
      <w:lvlText w:val=""/>
      <w:lvlJc w:val="left"/>
      <w:pPr>
        <w:ind w:left="1068" w:hanging="360"/>
      </w:pPr>
      <w:rPr>
        <w:rFonts w:ascii="Wingdings" w:eastAsiaTheme="minorHAnsi" w:hAnsi="Wingdings"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 w15:restartNumberingAfterBreak="0">
    <w:nsid w:val="458C4FE8"/>
    <w:multiLevelType w:val="multilevel"/>
    <w:tmpl w:val="8144B3B8"/>
    <w:lvl w:ilvl="0">
      <w:numFmt w:val="bullet"/>
      <w:lvlText w:val=""/>
      <w:lvlJc w:val="left"/>
      <w:pPr>
        <w:ind w:left="720" w:hanging="360"/>
      </w:pPr>
      <w:rPr>
        <w:rFonts w:ascii="Wingdings" w:eastAsia="Times New Roman" w:hAnsi="Wingdings"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D364941"/>
    <w:multiLevelType w:val="hybridMultilevel"/>
    <w:tmpl w:val="16E6EA20"/>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85007E9"/>
    <w:multiLevelType w:val="hybridMultilevel"/>
    <w:tmpl w:val="27983E08"/>
    <w:lvl w:ilvl="0" w:tplc="0407000D">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B715FC3"/>
    <w:multiLevelType w:val="hybridMultilevel"/>
    <w:tmpl w:val="303617E0"/>
    <w:lvl w:ilvl="0" w:tplc="9FBC9CA6">
      <w:numFmt w:val="bullet"/>
      <w:lvlText w:val=""/>
      <w:lvlJc w:val="left"/>
      <w:pPr>
        <w:ind w:left="1068" w:hanging="360"/>
      </w:pPr>
      <w:rPr>
        <w:rFonts w:ascii="Wingdings" w:eastAsia="Times New Roman" w:hAnsi="Wingdings"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13" w15:restartNumberingAfterBreak="0">
    <w:nsid w:val="7CF04AEB"/>
    <w:multiLevelType w:val="hybridMultilevel"/>
    <w:tmpl w:val="B8DEBC80"/>
    <w:lvl w:ilvl="0" w:tplc="F2DEE534">
      <w:start w:val="1"/>
      <w:numFmt w:val="bullet"/>
      <w:lvlText w:val=""/>
      <w:lvlJc w:val="left"/>
      <w:pPr>
        <w:tabs>
          <w:tab w:val="num" w:pos="720"/>
        </w:tabs>
        <w:ind w:left="720" w:hanging="360"/>
      </w:pPr>
      <w:rPr>
        <w:rFonts w:ascii="Wingdings" w:hAnsi="Wingdings" w:hint="default"/>
      </w:rPr>
    </w:lvl>
    <w:lvl w:ilvl="1" w:tplc="AB44F4A2">
      <w:start w:val="1"/>
      <w:numFmt w:val="bullet"/>
      <w:lvlText w:val=""/>
      <w:lvlJc w:val="left"/>
      <w:pPr>
        <w:tabs>
          <w:tab w:val="num" w:pos="1440"/>
        </w:tabs>
        <w:ind w:left="1440" w:hanging="360"/>
      </w:pPr>
      <w:rPr>
        <w:rFonts w:ascii="Wingdings" w:hAnsi="Wingdings" w:hint="default"/>
      </w:rPr>
    </w:lvl>
    <w:lvl w:ilvl="2" w:tplc="6D42FA2A">
      <w:start w:val="1"/>
      <w:numFmt w:val="bullet"/>
      <w:lvlText w:val=""/>
      <w:lvlJc w:val="left"/>
      <w:pPr>
        <w:tabs>
          <w:tab w:val="num" w:pos="2160"/>
        </w:tabs>
        <w:ind w:left="2160" w:hanging="360"/>
      </w:pPr>
      <w:rPr>
        <w:rFonts w:ascii="Wingdings" w:hAnsi="Wingdings" w:hint="default"/>
      </w:rPr>
    </w:lvl>
    <w:lvl w:ilvl="3" w:tplc="E0BE6396">
      <w:start w:val="1"/>
      <w:numFmt w:val="bullet"/>
      <w:lvlText w:val=""/>
      <w:lvlJc w:val="left"/>
      <w:pPr>
        <w:tabs>
          <w:tab w:val="num" w:pos="2880"/>
        </w:tabs>
        <w:ind w:left="2880" w:hanging="360"/>
      </w:pPr>
      <w:rPr>
        <w:rFonts w:ascii="Wingdings" w:hAnsi="Wingdings" w:hint="default"/>
      </w:rPr>
    </w:lvl>
    <w:lvl w:ilvl="4" w:tplc="CE0AD96E">
      <w:start w:val="1"/>
      <w:numFmt w:val="bullet"/>
      <w:lvlText w:val=""/>
      <w:lvlJc w:val="left"/>
      <w:pPr>
        <w:tabs>
          <w:tab w:val="num" w:pos="3600"/>
        </w:tabs>
        <w:ind w:left="3600" w:hanging="360"/>
      </w:pPr>
      <w:rPr>
        <w:rFonts w:ascii="Wingdings" w:hAnsi="Wingdings" w:hint="default"/>
      </w:rPr>
    </w:lvl>
    <w:lvl w:ilvl="5" w:tplc="0CB4C1D0">
      <w:start w:val="1"/>
      <w:numFmt w:val="bullet"/>
      <w:lvlText w:val=""/>
      <w:lvlJc w:val="left"/>
      <w:pPr>
        <w:tabs>
          <w:tab w:val="num" w:pos="4320"/>
        </w:tabs>
        <w:ind w:left="4320" w:hanging="360"/>
      </w:pPr>
      <w:rPr>
        <w:rFonts w:ascii="Wingdings" w:hAnsi="Wingdings" w:hint="default"/>
      </w:rPr>
    </w:lvl>
    <w:lvl w:ilvl="6" w:tplc="B95EDD0E">
      <w:start w:val="1"/>
      <w:numFmt w:val="bullet"/>
      <w:lvlText w:val=""/>
      <w:lvlJc w:val="left"/>
      <w:pPr>
        <w:tabs>
          <w:tab w:val="num" w:pos="5040"/>
        </w:tabs>
        <w:ind w:left="5040" w:hanging="360"/>
      </w:pPr>
      <w:rPr>
        <w:rFonts w:ascii="Wingdings" w:hAnsi="Wingdings" w:hint="default"/>
      </w:rPr>
    </w:lvl>
    <w:lvl w:ilvl="7" w:tplc="21CC0622">
      <w:start w:val="1"/>
      <w:numFmt w:val="bullet"/>
      <w:lvlText w:val=""/>
      <w:lvlJc w:val="left"/>
      <w:pPr>
        <w:tabs>
          <w:tab w:val="num" w:pos="5760"/>
        </w:tabs>
        <w:ind w:left="5760" w:hanging="360"/>
      </w:pPr>
      <w:rPr>
        <w:rFonts w:ascii="Wingdings" w:hAnsi="Wingdings" w:hint="default"/>
      </w:rPr>
    </w:lvl>
    <w:lvl w:ilvl="8" w:tplc="AA343ADC">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13"/>
  </w:num>
  <w:num w:numId="4">
    <w:abstractNumId w:val="1"/>
  </w:num>
  <w:num w:numId="5">
    <w:abstractNumId w:val="12"/>
  </w:num>
  <w:num w:numId="6">
    <w:abstractNumId w:val="12"/>
  </w:num>
  <w:num w:numId="7">
    <w:abstractNumId w:val="11"/>
  </w:num>
  <w:num w:numId="8">
    <w:abstractNumId w:val="8"/>
  </w:num>
  <w:num w:numId="9">
    <w:abstractNumId w:val="10"/>
  </w:num>
  <w:num w:numId="10">
    <w:abstractNumId w:val="4"/>
  </w:num>
  <w:num w:numId="11">
    <w:abstractNumId w:val="2"/>
  </w:num>
  <w:num w:numId="12">
    <w:abstractNumId w:val="5"/>
  </w:num>
  <w:num w:numId="13">
    <w:abstractNumId w:val="0"/>
  </w:num>
  <w:num w:numId="14">
    <w:abstractNumId w:val="7"/>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autoHyphenation/>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B9B"/>
    <w:rsid w:val="0001745D"/>
    <w:rsid w:val="000252E7"/>
    <w:rsid w:val="00055743"/>
    <w:rsid w:val="0009210F"/>
    <w:rsid w:val="00095ECB"/>
    <w:rsid w:val="00097B2A"/>
    <w:rsid w:val="000A5E01"/>
    <w:rsid w:val="000B6D5B"/>
    <w:rsid w:val="000C5964"/>
    <w:rsid w:val="000E0B4A"/>
    <w:rsid w:val="000E0BEF"/>
    <w:rsid w:val="000F0750"/>
    <w:rsid w:val="000F09A7"/>
    <w:rsid w:val="000F37EE"/>
    <w:rsid w:val="00121EF3"/>
    <w:rsid w:val="00122009"/>
    <w:rsid w:val="00130A7E"/>
    <w:rsid w:val="0013165E"/>
    <w:rsid w:val="00154B23"/>
    <w:rsid w:val="00167C99"/>
    <w:rsid w:val="0019185F"/>
    <w:rsid w:val="001A145C"/>
    <w:rsid w:val="001A7839"/>
    <w:rsid w:val="001C18BA"/>
    <w:rsid w:val="001C2507"/>
    <w:rsid w:val="001D075D"/>
    <w:rsid w:val="001E0850"/>
    <w:rsid w:val="001E0C5A"/>
    <w:rsid w:val="001F2EC4"/>
    <w:rsid w:val="002256E6"/>
    <w:rsid w:val="00225A18"/>
    <w:rsid w:val="00236385"/>
    <w:rsid w:val="00236848"/>
    <w:rsid w:val="00240B39"/>
    <w:rsid w:val="00244754"/>
    <w:rsid w:val="00257BDD"/>
    <w:rsid w:val="00270DD6"/>
    <w:rsid w:val="002A47BF"/>
    <w:rsid w:val="002C0437"/>
    <w:rsid w:val="002D1173"/>
    <w:rsid w:val="002D4779"/>
    <w:rsid w:val="002E146C"/>
    <w:rsid w:val="002E7261"/>
    <w:rsid w:val="002F65F4"/>
    <w:rsid w:val="00305690"/>
    <w:rsid w:val="00331107"/>
    <w:rsid w:val="00332DD3"/>
    <w:rsid w:val="003344B8"/>
    <w:rsid w:val="00353D22"/>
    <w:rsid w:val="00356C99"/>
    <w:rsid w:val="00372D0D"/>
    <w:rsid w:val="003741CA"/>
    <w:rsid w:val="0038331C"/>
    <w:rsid w:val="0038403D"/>
    <w:rsid w:val="00384955"/>
    <w:rsid w:val="00391748"/>
    <w:rsid w:val="003A05B3"/>
    <w:rsid w:val="003B2531"/>
    <w:rsid w:val="003C53BE"/>
    <w:rsid w:val="003C66E0"/>
    <w:rsid w:val="003E4491"/>
    <w:rsid w:val="00401E1B"/>
    <w:rsid w:val="0043124B"/>
    <w:rsid w:val="00432D7E"/>
    <w:rsid w:val="0045112D"/>
    <w:rsid w:val="00453F69"/>
    <w:rsid w:val="00477117"/>
    <w:rsid w:val="00491E96"/>
    <w:rsid w:val="0049346A"/>
    <w:rsid w:val="0049767E"/>
    <w:rsid w:val="004A121A"/>
    <w:rsid w:val="004A3A8C"/>
    <w:rsid w:val="004A497A"/>
    <w:rsid w:val="004B3A6E"/>
    <w:rsid w:val="004C359C"/>
    <w:rsid w:val="004C3CE1"/>
    <w:rsid w:val="004C4342"/>
    <w:rsid w:val="004E5659"/>
    <w:rsid w:val="005543C4"/>
    <w:rsid w:val="00563FB8"/>
    <w:rsid w:val="00583C21"/>
    <w:rsid w:val="00591C6D"/>
    <w:rsid w:val="005D7FFB"/>
    <w:rsid w:val="005E468C"/>
    <w:rsid w:val="005E5F29"/>
    <w:rsid w:val="005E69C6"/>
    <w:rsid w:val="005F024C"/>
    <w:rsid w:val="005F77D3"/>
    <w:rsid w:val="00607C74"/>
    <w:rsid w:val="006131E4"/>
    <w:rsid w:val="00615BE9"/>
    <w:rsid w:val="00630161"/>
    <w:rsid w:val="00663646"/>
    <w:rsid w:val="006660F8"/>
    <w:rsid w:val="006873A2"/>
    <w:rsid w:val="006A75B6"/>
    <w:rsid w:val="006B22A0"/>
    <w:rsid w:val="006B6C78"/>
    <w:rsid w:val="006E3602"/>
    <w:rsid w:val="00701E94"/>
    <w:rsid w:val="00724856"/>
    <w:rsid w:val="007363FE"/>
    <w:rsid w:val="00746A84"/>
    <w:rsid w:val="00757126"/>
    <w:rsid w:val="00770494"/>
    <w:rsid w:val="00771F54"/>
    <w:rsid w:val="007747CD"/>
    <w:rsid w:val="00782183"/>
    <w:rsid w:val="00785336"/>
    <w:rsid w:val="007B1996"/>
    <w:rsid w:val="007E4422"/>
    <w:rsid w:val="008058BE"/>
    <w:rsid w:val="0083003D"/>
    <w:rsid w:val="00830E1F"/>
    <w:rsid w:val="0084111D"/>
    <w:rsid w:val="00843C3B"/>
    <w:rsid w:val="00850B6C"/>
    <w:rsid w:val="0085177F"/>
    <w:rsid w:val="00887988"/>
    <w:rsid w:val="008905F4"/>
    <w:rsid w:val="008A7E73"/>
    <w:rsid w:val="008C1689"/>
    <w:rsid w:val="008D06B6"/>
    <w:rsid w:val="008D74D0"/>
    <w:rsid w:val="008E70A9"/>
    <w:rsid w:val="008E7B9B"/>
    <w:rsid w:val="009414C6"/>
    <w:rsid w:val="009475B4"/>
    <w:rsid w:val="00952C35"/>
    <w:rsid w:val="00964DAF"/>
    <w:rsid w:val="00976337"/>
    <w:rsid w:val="009A6DAD"/>
    <w:rsid w:val="009B4007"/>
    <w:rsid w:val="009C4DF5"/>
    <w:rsid w:val="009C5754"/>
    <w:rsid w:val="009C6EC7"/>
    <w:rsid w:val="009D21D9"/>
    <w:rsid w:val="009F4938"/>
    <w:rsid w:val="00A0432D"/>
    <w:rsid w:val="00A143AE"/>
    <w:rsid w:val="00A21B26"/>
    <w:rsid w:val="00A50DB5"/>
    <w:rsid w:val="00A64793"/>
    <w:rsid w:val="00A7131A"/>
    <w:rsid w:val="00A81B72"/>
    <w:rsid w:val="00A82BA1"/>
    <w:rsid w:val="00A86710"/>
    <w:rsid w:val="00A90121"/>
    <w:rsid w:val="00A9633B"/>
    <w:rsid w:val="00AC1717"/>
    <w:rsid w:val="00AC46BC"/>
    <w:rsid w:val="00AD5767"/>
    <w:rsid w:val="00AD5CD2"/>
    <w:rsid w:val="00B10577"/>
    <w:rsid w:val="00B1409C"/>
    <w:rsid w:val="00B16081"/>
    <w:rsid w:val="00B162C8"/>
    <w:rsid w:val="00B31649"/>
    <w:rsid w:val="00B50A00"/>
    <w:rsid w:val="00B548E3"/>
    <w:rsid w:val="00B66891"/>
    <w:rsid w:val="00B74660"/>
    <w:rsid w:val="00B7497B"/>
    <w:rsid w:val="00B9052C"/>
    <w:rsid w:val="00B93B64"/>
    <w:rsid w:val="00BA3BBE"/>
    <w:rsid w:val="00BB66FE"/>
    <w:rsid w:val="00C06576"/>
    <w:rsid w:val="00C12329"/>
    <w:rsid w:val="00C25F87"/>
    <w:rsid w:val="00C62CC7"/>
    <w:rsid w:val="00C63BC8"/>
    <w:rsid w:val="00C83A18"/>
    <w:rsid w:val="00C84261"/>
    <w:rsid w:val="00C95A11"/>
    <w:rsid w:val="00C97961"/>
    <w:rsid w:val="00CB1109"/>
    <w:rsid w:val="00CD0555"/>
    <w:rsid w:val="00CE385C"/>
    <w:rsid w:val="00CF2D39"/>
    <w:rsid w:val="00D914A5"/>
    <w:rsid w:val="00DA6BA4"/>
    <w:rsid w:val="00DC0840"/>
    <w:rsid w:val="00DE3341"/>
    <w:rsid w:val="00DF1563"/>
    <w:rsid w:val="00DF25CF"/>
    <w:rsid w:val="00DF5232"/>
    <w:rsid w:val="00E07054"/>
    <w:rsid w:val="00E264BB"/>
    <w:rsid w:val="00E3400D"/>
    <w:rsid w:val="00E42EBE"/>
    <w:rsid w:val="00E51F4C"/>
    <w:rsid w:val="00E56211"/>
    <w:rsid w:val="00E62449"/>
    <w:rsid w:val="00E7401D"/>
    <w:rsid w:val="00E83BE8"/>
    <w:rsid w:val="00E83E39"/>
    <w:rsid w:val="00E90070"/>
    <w:rsid w:val="00EA1885"/>
    <w:rsid w:val="00EA1909"/>
    <w:rsid w:val="00EA35C5"/>
    <w:rsid w:val="00EA45CB"/>
    <w:rsid w:val="00EC1095"/>
    <w:rsid w:val="00EE1C0D"/>
    <w:rsid w:val="00EF28BF"/>
    <w:rsid w:val="00F01B10"/>
    <w:rsid w:val="00F06440"/>
    <w:rsid w:val="00F17474"/>
    <w:rsid w:val="00F316F4"/>
    <w:rsid w:val="00F323E4"/>
    <w:rsid w:val="00F42309"/>
    <w:rsid w:val="00F443A9"/>
    <w:rsid w:val="00F66290"/>
    <w:rsid w:val="00F706EB"/>
    <w:rsid w:val="00F80328"/>
    <w:rsid w:val="00F80967"/>
    <w:rsid w:val="00F93411"/>
    <w:rsid w:val="00F9668D"/>
    <w:rsid w:val="00F971F5"/>
    <w:rsid w:val="00F97F7D"/>
    <w:rsid w:val="00FA0E9F"/>
    <w:rsid w:val="00FD20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E9412FF"/>
  <w15:docId w15:val="{5D55A9C1-81E6-4743-9886-28E4EC205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de-DE"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pPr>
      <w:suppressAutoHyphens/>
      <w:spacing w:line="360" w:lineRule="auto"/>
    </w:pPr>
    <w:rPr>
      <w:rFonts w:ascii="Arial" w:hAnsi="Arial"/>
      <w:sz w:val="22"/>
    </w:rPr>
  </w:style>
  <w:style w:type="paragraph" w:styleId="berschrift1">
    <w:name w:val="heading 1"/>
    <w:basedOn w:val="Standard"/>
    <w:next w:val="Standard"/>
    <w:pPr>
      <w:keepNext/>
      <w:tabs>
        <w:tab w:val="left" w:pos="5387"/>
      </w:tabs>
      <w:outlineLvl w:val="0"/>
    </w:pPr>
    <w:rPr>
      <w:b/>
    </w:rPr>
  </w:style>
  <w:style w:type="paragraph" w:styleId="berschrift2">
    <w:name w:val="heading 2"/>
    <w:basedOn w:val="Standard"/>
    <w:next w:val="Standard"/>
    <w:pPr>
      <w:keepNext/>
      <w:tabs>
        <w:tab w:val="left" w:pos="5387"/>
      </w:tabs>
      <w:spacing w:before="60" w:after="60"/>
      <w:ind w:left="397"/>
      <w:outlineLvl w:val="1"/>
    </w:pPr>
    <w:rPr>
      <w:b/>
    </w:rPr>
  </w:style>
  <w:style w:type="paragraph" w:styleId="berschrift3">
    <w:name w:val="heading 3"/>
    <w:basedOn w:val="Standard"/>
    <w:next w:val="Standard"/>
    <w:pPr>
      <w:keepNext/>
      <w:spacing w:line="240" w:lineRule="auto"/>
      <w:ind w:left="851" w:right="851"/>
      <w:outlineLvl w:val="2"/>
    </w:pPr>
    <w:rPr>
      <w:b/>
      <w:sz w:val="20"/>
    </w:rPr>
  </w:style>
  <w:style w:type="paragraph" w:styleId="berschrift4">
    <w:name w:val="heading 4"/>
    <w:basedOn w:val="Standard"/>
    <w:next w:val="Standard"/>
    <w:pPr>
      <w:keepNext/>
      <w:spacing w:before="240" w:after="60"/>
      <w:outlineLvl w:val="3"/>
    </w:pPr>
    <w:rPr>
      <w:rFonts w:ascii="Times New Roman" w:hAnsi="Times New Roman"/>
      <w:b/>
      <w:bCs/>
      <w:sz w:val="28"/>
      <w:szCs w:val="28"/>
    </w:rPr>
  </w:style>
  <w:style w:type="paragraph" w:styleId="berschrift7">
    <w:name w:val="heading 7"/>
    <w:basedOn w:val="Standard"/>
    <w:next w:val="Standard"/>
    <w:pPr>
      <w:spacing w:before="240" w:after="60"/>
      <w:outlineLvl w:val="6"/>
    </w:pPr>
    <w:rPr>
      <w:rFonts w:ascii="Times New Roman" w:hAnsi="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paragraph" w:styleId="Beschriftung">
    <w:name w:val="caption"/>
    <w:basedOn w:val="Standard"/>
    <w:next w:val="Standard"/>
    <w:pPr>
      <w:widowControl w:val="0"/>
      <w:tabs>
        <w:tab w:val="left" w:pos="5387"/>
      </w:tabs>
      <w:ind w:left="5387" w:hanging="5387"/>
    </w:pPr>
    <w:rPr>
      <w:rFonts w:ascii="Helvetica 65 Medium" w:hAnsi="Helvetica 65 Medium"/>
      <w:sz w:val="48"/>
    </w:rPr>
  </w:style>
  <w:style w:type="character" w:styleId="Zeilennummer">
    <w:name w:val="line number"/>
    <w:basedOn w:val="Absatz-Standardschriftart"/>
  </w:style>
  <w:style w:type="paragraph" w:styleId="Textkrper-Einzug2">
    <w:name w:val="Body Text Indent 2"/>
    <w:basedOn w:val="Standard"/>
    <w:pPr>
      <w:spacing w:line="240" w:lineRule="auto"/>
      <w:ind w:left="1440"/>
    </w:pPr>
  </w:style>
  <w:style w:type="paragraph" w:styleId="Sprechblasentext">
    <w:name w:val="Balloon Text"/>
    <w:basedOn w:val="Standard"/>
    <w:rPr>
      <w:rFonts w:ascii="Tahoma" w:hAnsi="Tahoma" w:cs="Tahoma"/>
      <w:sz w:val="16"/>
      <w:szCs w:val="16"/>
    </w:rPr>
  </w:style>
  <w:style w:type="character" w:styleId="Kommentarzeichen">
    <w:name w:val="annotation reference"/>
    <w:rPr>
      <w:sz w:val="16"/>
      <w:szCs w:val="16"/>
    </w:rPr>
  </w:style>
  <w:style w:type="paragraph" w:styleId="Textkrper">
    <w:name w:val="Body Text"/>
    <w:basedOn w:val="Standard"/>
    <w:pPr>
      <w:spacing w:after="120"/>
    </w:pPr>
  </w:style>
  <w:style w:type="paragraph" w:styleId="Kommentartext">
    <w:name w:val="annotation text"/>
    <w:basedOn w:val="Standard"/>
    <w:rPr>
      <w:sz w:val="20"/>
    </w:rPr>
  </w:style>
  <w:style w:type="paragraph" w:styleId="Kommentarthema">
    <w:name w:val="annotation subject"/>
    <w:basedOn w:val="Kommentartext"/>
    <w:next w:val="Kommentartext"/>
    <w:rPr>
      <w:b/>
      <w:bCs/>
    </w:rPr>
  </w:style>
  <w:style w:type="paragraph" w:styleId="StandardWeb">
    <w:name w:val="Normal (Web)"/>
    <w:basedOn w:val="Standard"/>
    <w:uiPriority w:val="99"/>
    <w:pPr>
      <w:spacing w:before="100" w:after="100" w:line="240" w:lineRule="auto"/>
    </w:pPr>
    <w:rPr>
      <w:rFonts w:ascii="Times New Roman" w:hAnsi="Times New Roman"/>
      <w:sz w:val="24"/>
      <w:szCs w:val="24"/>
    </w:rPr>
  </w:style>
  <w:style w:type="character" w:styleId="Fett">
    <w:name w:val="Strong"/>
    <w:uiPriority w:val="22"/>
    <w:qFormat/>
    <w:rPr>
      <w:b/>
      <w:bCs/>
    </w:rPr>
  </w:style>
  <w:style w:type="paragraph" w:customStyle="1" w:styleId="bodytext">
    <w:name w:val="bodytext"/>
    <w:basedOn w:val="Standard"/>
    <w:pPr>
      <w:spacing w:before="100" w:after="100" w:line="240" w:lineRule="auto"/>
    </w:pPr>
    <w:rPr>
      <w:rFonts w:ascii="Times New Roman" w:hAnsi="Times New Roman"/>
      <w:sz w:val="24"/>
      <w:szCs w:val="24"/>
    </w:rPr>
  </w:style>
  <w:style w:type="paragraph" w:styleId="Dokumentstruktur">
    <w:name w:val="Document Map"/>
    <w:basedOn w:val="Standard"/>
    <w:pPr>
      <w:shd w:val="clear" w:color="auto" w:fill="000080"/>
    </w:pPr>
    <w:rPr>
      <w:rFonts w:ascii="Tahoma" w:hAnsi="Tahoma" w:cs="Tahoma"/>
      <w:sz w:val="20"/>
    </w:rPr>
  </w:style>
  <w:style w:type="paragraph" w:styleId="Funotentext">
    <w:name w:val="footnote text"/>
    <w:basedOn w:val="Standard"/>
    <w:rPr>
      <w:sz w:val="20"/>
    </w:rPr>
  </w:style>
  <w:style w:type="character" w:styleId="Funotenzeichen">
    <w:name w:val="footnote reference"/>
    <w:rPr>
      <w:position w:val="0"/>
      <w:vertAlign w:val="superscript"/>
    </w:rPr>
  </w:style>
  <w:style w:type="paragraph" w:styleId="Textkrper2">
    <w:name w:val="Body Text 2"/>
    <w:basedOn w:val="Standard"/>
    <w:pPr>
      <w:spacing w:after="120" w:line="480" w:lineRule="auto"/>
    </w:pPr>
  </w:style>
  <w:style w:type="character" w:styleId="Hervorhebung">
    <w:name w:val="Emphasis"/>
    <w:rPr>
      <w:i/>
      <w:iCs/>
    </w:rPr>
  </w:style>
  <w:style w:type="paragraph" w:styleId="Listenabsatz">
    <w:name w:val="List Paragraph"/>
    <w:basedOn w:val="Standard"/>
    <w:qFormat/>
    <w:pPr>
      <w:spacing w:line="240" w:lineRule="auto"/>
      <w:ind w:left="720"/>
    </w:pPr>
    <w:rPr>
      <w:rFonts w:ascii="Calibri" w:eastAsia="Calibri" w:hAnsi="Calibri" w:cs="Calibri"/>
      <w:szCs w:val="22"/>
    </w:rPr>
  </w:style>
  <w:style w:type="character" w:customStyle="1" w:styleId="fontstyle01">
    <w:name w:val="fontstyle01"/>
    <w:rPr>
      <w:rFonts w:ascii="Calibri" w:hAnsi="Calibri" w:cs="Calibri"/>
      <w:b w:val="0"/>
      <w:bCs w:val="0"/>
      <w:i w:val="0"/>
      <w:iCs w:val="0"/>
      <w:color w:val="000000"/>
      <w:sz w:val="24"/>
      <w:szCs w:val="24"/>
    </w:rPr>
  </w:style>
  <w:style w:type="character" w:styleId="NichtaufgelsteErwhnung">
    <w:name w:val="Unresolved Mention"/>
    <w:basedOn w:val="Absatz-Standardschriftart"/>
    <w:uiPriority w:val="99"/>
    <w:semiHidden/>
    <w:unhideWhenUsed/>
    <w:rsid w:val="00384955"/>
    <w:rPr>
      <w:color w:val="605E5C"/>
      <w:shd w:val="clear" w:color="auto" w:fill="E1DFDD"/>
    </w:rPr>
  </w:style>
  <w:style w:type="character" w:styleId="BesuchterLink">
    <w:name w:val="FollowedHyperlink"/>
    <w:basedOn w:val="Absatz-Standardschriftart"/>
    <w:uiPriority w:val="99"/>
    <w:semiHidden/>
    <w:unhideWhenUsed/>
    <w:rsid w:val="00384955"/>
    <w:rPr>
      <w:color w:val="954F72" w:themeColor="followedHyperlink"/>
      <w:u w:val="single"/>
    </w:rPr>
  </w:style>
  <w:style w:type="character" w:customStyle="1" w:styleId="KopfzeileZchn">
    <w:name w:val="Kopfzeile Zchn"/>
    <w:basedOn w:val="Absatz-Standardschriftart"/>
    <w:link w:val="Kopfzeile"/>
    <w:rsid w:val="00B1409C"/>
    <w:rPr>
      <w:rFonts w:ascii="Arial" w:hAnsi="Arial"/>
      <w:sz w:val="22"/>
    </w:rPr>
  </w:style>
  <w:style w:type="table" w:styleId="Tabellenraster">
    <w:name w:val="Table Grid"/>
    <w:basedOn w:val="NormaleTabelle"/>
    <w:uiPriority w:val="39"/>
    <w:rsid w:val="00B90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bsatz-Standardschriftart"/>
    <w:rsid w:val="007747CD"/>
  </w:style>
  <w:style w:type="paragraph" w:customStyle="1" w:styleId="Default">
    <w:name w:val="Default"/>
    <w:rsid w:val="007747CD"/>
    <w:pPr>
      <w:autoSpaceDE w:val="0"/>
      <w:adjustRightInd w:val="0"/>
      <w:textAlignment w:val="auto"/>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3337">
      <w:bodyDiv w:val="1"/>
      <w:marLeft w:val="0"/>
      <w:marRight w:val="0"/>
      <w:marTop w:val="0"/>
      <w:marBottom w:val="0"/>
      <w:divBdr>
        <w:top w:val="none" w:sz="0" w:space="0" w:color="auto"/>
        <w:left w:val="none" w:sz="0" w:space="0" w:color="auto"/>
        <w:bottom w:val="none" w:sz="0" w:space="0" w:color="auto"/>
        <w:right w:val="none" w:sz="0" w:space="0" w:color="auto"/>
      </w:divBdr>
    </w:div>
    <w:div w:id="33696930">
      <w:bodyDiv w:val="1"/>
      <w:marLeft w:val="0"/>
      <w:marRight w:val="0"/>
      <w:marTop w:val="0"/>
      <w:marBottom w:val="0"/>
      <w:divBdr>
        <w:top w:val="none" w:sz="0" w:space="0" w:color="auto"/>
        <w:left w:val="none" w:sz="0" w:space="0" w:color="auto"/>
        <w:bottom w:val="none" w:sz="0" w:space="0" w:color="auto"/>
        <w:right w:val="none" w:sz="0" w:space="0" w:color="auto"/>
      </w:divBdr>
    </w:div>
    <w:div w:id="109790583">
      <w:bodyDiv w:val="1"/>
      <w:marLeft w:val="0"/>
      <w:marRight w:val="0"/>
      <w:marTop w:val="0"/>
      <w:marBottom w:val="0"/>
      <w:divBdr>
        <w:top w:val="none" w:sz="0" w:space="0" w:color="auto"/>
        <w:left w:val="none" w:sz="0" w:space="0" w:color="auto"/>
        <w:bottom w:val="none" w:sz="0" w:space="0" w:color="auto"/>
        <w:right w:val="none" w:sz="0" w:space="0" w:color="auto"/>
      </w:divBdr>
    </w:div>
    <w:div w:id="285432498">
      <w:bodyDiv w:val="1"/>
      <w:marLeft w:val="0"/>
      <w:marRight w:val="0"/>
      <w:marTop w:val="0"/>
      <w:marBottom w:val="0"/>
      <w:divBdr>
        <w:top w:val="none" w:sz="0" w:space="0" w:color="auto"/>
        <w:left w:val="none" w:sz="0" w:space="0" w:color="auto"/>
        <w:bottom w:val="none" w:sz="0" w:space="0" w:color="auto"/>
        <w:right w:val="none" w:sz="0" w:space="0" w:color="auto"/>
      </w:divBdr>
    </w:div>
    <w:div w:id="491261849">
      <w:bodyDiv w:val="1"/>
      <w:marLeft w:val="0"/>
      <w:marRight w:val="0"/>
      <w:marTop w:val="0"/>
      <w:marBottom w:val="0"/>
      <w:divBdr>
        <w:top w:val="none" w:sz="0" w:space="0" w:color="auto"/>
        <w:left w:val="none" w:sz="0" w:space="0" w:color="auto"/>
        <w:bottom w:val="none" w:sz="0" w:space="0" w:color="auto"/>
        <w:right w:val="none" w:sz="0" w:space="0" w:color="auto"/>
      </w:divBdr>
    </w:div>
    <w:div w:id="614990757">
      <w:bodyDiv w:val="1"/>
      <w:marLeft w:val="0"/>
      <w:marRight w:val="0"/>
      <w:marTop w:val="0"/>
      <w:marBottom w:val="0"/>
      <w:divBdr>
        <w:top w:val="none" w:sz="0" w:space="0" w:color="auto"/>
        <w:left w:val="none" w:sz="0" w:space="0" w:color="auto"/>
        <w:bottom w:val="none" w:sz="0" w:space="0" w:color="auto"/>
        <w:right w:val="none" w:sz="0" w:space="0" w:color="auto"/>
      </w:divBdr>
    </w:div>
    <w:div w:id="809595605">
      <w:bodyDiv w:val="1"/>
      <w:marLeft w:val="0"/>
      <w:marRight w:val="0"/>
      <w:marTop w:val="0"/>
      <w:marBottom w:val="0"/>
      <w:divBdr>
        <w:top w:val="none" w:sz="0" w:space="0" w:color="auto"/>
        <w:left w:val="none" w:sz="0" w:space="0" w:color="auto"/>
        <w:bottom w:val="none" w:sz="0" w:space="0" w:color="auto"/>
        <w:right w:val="none" w:sz="0" w:space="0" w:color="auto"/>
      </w:divBdr>
    </w:div>
    <w:div w:id="1061099654">
      <w:bodyDiv w:val="1"/>
      <w:marLeft w:val="0"/>
      <w:marRight w:val="0"/>
      <w:marTop w:val="0"/>
      <w:marBottom w:val="0"/>
      <w:divBdr>
        <w:top w:val="none" w:sz="0" w:space="0" w:color="auto"/>
        <w:left w:val="none" w:sz="0" w:space="0" w:color="auto"/>
        <w:bottom w:val="none" w:sz="0" w:space="0" w:color="auto"/>
        <w:right w:val="none" w:sz="0" w:space="0" w:color="auto"/>
      </w:divBdr>
    </w:div>
    <w:div w:id="1138763936">
      <w:bodyDiv w:val="1"/>
      <w:marLeft w:val="0"/>
      <w:marRight w:val="0"/>
      <w:marTop w:val="0"/>
      <w:marBottom w:val="0"/>
      <w:divBdr>
        <w:top w:val="none" w:sz="0" w:space="0" w:color="auto"/>
        <w:left w:val="none" w:sz="0" w:space="0" w:color="auto"/>
        <w:bottom w:val="none" w:sz="0" w:space="0" w:color="auto"/>
        <w:right w:val="none" w:sz="0" w:space="0" w:color="auto"/>
      </w:divBdr>
    </w:div>
    <w:div w:id="1359086227">
      <w:bodyDiv w:val="1"/>
      <w:marLeft w:val="0"/>
      <w:marRight w:val="0"/>
      <w:marTop w:val="0"/>
      <w:marBottom w:val="0"/>
      <w:divBdr>
        <w:top w:val="none" w:sz="0" w:space="0" w:color="auto"/>
        <w:left w:val="none" w:sz="0" w:space="0" w:color="auto"/>
        <w:bottom w:val="none" w:sz="0" w:space="0" w:color="auto"/>
        <w:right w:val="none" w:sz="0" w:space="0" w:color="auto"/>
      </w:divBdr>
    </w:div>
    <w:div w:id="1590500832">
      <w:bodyDiv w:val="1"/>
      <w:marLeft w:val="0"/>
      <w:marRight w:val="0"/>
      <w:marTop w:val="0"/>
      <w:marBottom w:val="0"/>
      <w:divBdr>
        <w:top w:val="none" w:sz="0" w:space="0" w:color="auto"/>
        <w:left w:val="none" w:sz="0" w:space="0" w:color="auto"/>
        <w:bottom w:val="none" w:sz="0" w:space="0" w:color="auto"/>
        <w:right w:val="none" w:sz="0" w:space="0" w:color="auto"/>
      </w:divBdr>
    </w:div>
    <w:div w:id="1712342407">
      <w:bodyDiv w:val="1"/>
      <w:marLeft w:val="0"/>
      <w:marRight w:val="0"/>
      <w:marTop w:val="0"/>
      <w:marBottom w:val="0"/>
      <w:divBdr>
        <w:top w:val="none" w:sz="0" w:space="0" w:color="auto"/>
        <w:left w:val="none" w:sz="0" w:space="0" w:color="auto"/>
        <w:bottom w:val="none" w:sz="0" w:space="0" w:color="auto"/>
        <w:right w:val="none" w:sz="0" w:space="0" w:color="auto"/>
      </w:divBdr>
    </w:div>
    <w:div w:id="1732145056">
      <w:bodyDiv w:val="1"/>
      <w:marLeft w:val="0"/>
      <w:marRight w:val="0"/>
      <w:marTop w:val="0"/>
      <w:marBottom w:val="0"/>
      <w:divBdr>
        <w:top w:val="none" w:sz="0" w:space="0" w:color="auto"/>
        <w:left w:val="none" w:sz="0" w:space="0" w:color="auto"/>
        <w:bottom w:val="none" w:sz="0" w:space="0" w:color="auto"/>
        <w:right w:val="none" w:sz="0" w:space="0" w:color="auto"/>
      </w:divBdr>
    </w:div>
    <w:div w:id="1891309627">
      <w:bodyDiv w:val="1"/>
      <w:marLeft w:val="0"/>
      <w:marRight w:val="0"/>
      <w:marTop w:val="0"/>
      <w:marBottom w:val="0"/>
      <w:divBdr>
        <w:top w:val="none" w:sz="0" w:space="0" w:color="auto"/>
        <w:left w:val="none" w:sz="0" w:space="0" w:color="auto"/>
        <w:bottom w:val="none" w:sz="0" w:space="0" w:color="auto"/>
        <w:right w:val="none" w:sz="0" w:space="0" w:color="auto"/>
      </w:divBdr>
    </w:div>
    <w:div w:id="1943681746">
      <w:bodyDiv w:val="1"/>
      <w:marLeft w:val="0"/>
      <w:marRight w:val="0"/>
      <w:marTop w:val="0"/>
      <w:marBottom w:val="0"/>
      <w:divBdr>
        <w:top w:val="none" w:sz="0" w:space="0" w:color="auto"/>
        <w:left w:val="none" w:sz="0" w:space="0" w:color="auto"/>
        <w:bottom w:val="none" w:sz="0" w:space="0" w:color="auto"/>
        <w:right w:val="none" w:sz="0" w:space="0" w:color="auto"/>
      </w:divBdr>
    </w:div>
    <w:div w:id="20478314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ackerneuson.de/ueber-uns/messen-events/bauma" TargetMode="External"/><Relationship Id="rId13" Type="http://schemas.openxmlformats.org/officeDocument/2006/relationships/image" Target="media/image4.jpeg"/><Relationship Id="rId18" Type="http://schemas.openxmlformats.org/officeDocument/2006/relationships/hyperlink" Target="https://www.tiktok.com/@wacker.neuso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linkedin.com/company/wackerneuson" TargetMode="External"/><Relationship Id="rId2" Type="http://schemas.openxmlformats.org/officeDocument/2006/relationships/numbering" Target="numbering.xml"/><Relationship Id="rId16" Type="http://schemas.openxmlformats.org/officeDocument/2006/relationships/hyperlink" Target="https://www.facebook.com/WackerNeuso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http://www.instagram.com/wacker.neuson" TargetMode="Externa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yperlink" Target="https://www.youtube.com/wackerneuson" TargetMode="External"/><Relationship Id="rId4" Type="http://schemas.openxmlformats.org/officeDocument/2006/relationships/settings" Target="settings.xml"/><Relationship Id="rId9" Type="http://schemas.openxmlformats.org/officeDocument/2006/relationships/hyperlink" Target="https://www.youtube.com/playlist?list=PLlda1AYNlVMctcSGvRQPWlDDjJU1wO7wo" TargetMode="External"/><Relationship Id="rId14" Type="http://schemas.openxmlformats.org/officeDocument/2006/relationships/image" Target="media/image5.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8FED2-6163-471E-A96F-66D8B6C80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1155</Words>
  <Characters>7182</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Wacker Neuson Pressemitteilung</vt:lpstr>
      <vt:lpstr>Wacker Neuson Pressemitteilung</vt:lpstr>
    </vt:vector>
  </TitlesOfParts>
  <Company>WN</Company>
  <LinksUpToDate>false</LinksUpToDate>
  <CharactersWithSpaces>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Wacker Neuson Pressemitteilung</dc:title>
  <dc:subject/>
  <dc:creator>Raab Marlene</dc:creator>
  <cp:keywords/>
  <dc:description/>
  <cp:lastModifiedBy>Westermayr, Monika</cp:lastModifiedBy>
  <cp:revision>3</cp:revision>
  <cp:lastPrinted>2025-01-30T09:24:00Z</cp:lastPrinted>
  <dcterms:created xsi:type="dcterms:W3CDTF">2025-04-04T13:31:00Z</dcterms:created>
  <dcterms:modified xsi:type="dcterms:W3CDTF">2025-04-05T08:14:00Z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efe604330c995365f6228238f2c6a37b53841c1ffaaa45838e79e93e3828e141</vt:lpwstr>
  </property>
</Properties>
</file>